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Kicker"/>
      </w:pPr>
      <w:r>
        <w:t xml:space="preserve">GOVERNANCE TOOLKIT · FINANCIAL CONTROLS THROUGH TECHNOLOGY CHANGE</w:t>
      </w:r>
    </w:p>
    <w:p>
      <w:pPr>
        <w:pStyle w:val="Title"/>
      </w:pPr>
      <w:r>
        <w:t xml:space="preserve">Transformation Oversight Dashboard (Board Pack Template)</w:t>
      </w:r>
    </w:p>
    <w:p>
      <w:pPr>
        <w:pStyle w:val="Meta"/>
      </w:pPr>
      <w:r>
        <w:t xml:space="preserve">Version 1.1 · Last updated October 7, 2026 · Prepared by Jacob James Kahn</w:t>
      </w:r>
    </w:p>
    <w:p>
      <w:pPr>
        <w:pStyle w:val="Body"/>
      </w:pPr>
      <w:r>
        <w:t xml:space="preserve">A one-page board pack template for reporting a major technology or ERP program the same way every quarter. Prepared by Jacob James Kahn, drawing on Lockheed Martin's 1LMX and Agilent Technologies' SAP S/4HANA programs.</w:t>
      </w:r>
    </w:p>
    <w:p>
      <w:pPr>
        <w:pStyle w:val="Heading2"/>
      </w:pPr>
      <w:r>
        <w:t xml:space="preserve">How to use this document</w:t>
      </w:r>
    </w:p>
    <w:p>
      <w:pPr>
        <w:pStyle w:val="Body"/>
        <w:numPr>
          <w:ilvl w:val="0"/>
          <w:numId w:val="2"/>
        </w:numPr>
      </w:pPr>
      <w:r>
        <w:t xml:space="preserve">Ask management to complete this page for every board or committee meeting while the program is live, in the same format each time, so it can be compared from one quarter to the next.</w:t>
      </w:r>
    </w:p>
    <w:p>
      <w:pPr>
        <w:pStyle w:val="Body"/>
        <w:numPr>
          <w:ilvl w:val="0"/>
          <w:numId w:val="2"/>
        </w:numPr>
      </w:pPr>
      <w:r>
        <w:t xml:space="preserve">Attach supporting detail separately.</w:t>
      </w:r>
    </w:p>
    <w:p>
      <w:pPr>
        <w:pStyle w:val="Body"/>
        <w:numPr>
          <w:ilvl w:val="0"/>
          <w:numId w:val="2"/>
        </w:numPr>
      </w:pPr>
      <w:r>
        <w:t xml:space="preserve">The program lead should be able to explain every line in one sentence.</w:t>
      </w:r>
    </w:p>
    <w:p>
      <w:pPr>
        <w:pStyle w:val="Heading1"/>
      </w:pPr>
      <w:r>
        <w:t xml:space="preserve">1. Program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blHeader/>
        </w:trPr>
        <w:tc>
          <w:tcPr>
            <w:tcW w:type="dxa" w:w="36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Field</w:t>
            </w:r>
          </w:p>
        </w:tc>
        <w:tc>
          <w:tcPr>
            <w:tcW w:type="dxa" w:w="57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Entry</w:t>
            </w:r>
          </w:p>
        </w:tc>
      </w:tr>
      <w:tr>
        <w:trPr>
          <w:cantSplit/>
        </w:trPr>
        <w:tc>
          <w:tcPr>
            <w:tcW w:type="dxa" w:w="3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Program name, executive sponsor and accountable program lead</w:t>
            </w:r>
          </w:p>
        </w:tc>
        <w:tc>
          <w:tcPr>
            <w:tcW w:type="dxa" w:w="57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3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Approved budget and business case, with the date the board approved them</w:t>
            </w:r>
          </w:p>
        </w:tc>
        <w:tc>
          <w:tcPr>
            <w:tcW w:type="dxa" w:w="57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3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One sentence from the program lead: what would make them report red</w:t>
            </w:r>
          </w:p>
        </w:tc>
        <w:tc>
          <w:tcPr>
            <w:tcW w:type="dxa" w:w="57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2. Milestones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cantSplit/>
          <w:tblHeader/>
        </w:trPr>
        <w:tc>
          <w:tcPr>
            <w:tcW w:type="dxa" w:w="1872"/>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Milestone</w:t>
            </w:r>
          </w:p>
        </w:tc>
        <w:tc>
          <w:tcPr>
            <w:tcW w:type="dxa" w:w="1872"/>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Original date</w:t>
            </w:r>
          </w:p>
        </w:tc>
        <w:tc>
          <w:tcPr>
            <w:tcW w:type="dxa" w:w="1872"/>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Current forecast</w:t>
            </w:r>
          </w:p>
        </w:tc>
        <w:tc>
          <w:tcPr>
            <w:tcW w:type="dxa" w:w="1872"/>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Change since last report</w:t>
            </w:r>
          </w:p>
        </w:tc>
        <w:tc>
          <w:tcPr>
            <w:tcW w:type="dxa" w:w="1872"/>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Status (G/A/R)</w:t>
            </w:r>
          </w:p>
        </w:tc>
      </w:tr>
      <w:tr>
        <w:trPr>
          <w:cantSplit/>
        </w:trPr>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Meta"/>
      </w:pPr>
      <w:r>
        <w:t xml:space="preserve">Use written definitions of green, amber and red, and keep them the same from one report to the next.</w:t>
      </w:r>
    </w:p>
    <w:p>
      <w:pPr>
        <w:pStyle w:val="Heading1"/>
      </w:pPr>
      <w:r>
        <w:t xml:space="preserve">3. Budget and scope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blHeader/>
        </w:trPr>
        <w:tc>
          <w:tcPr>
            <w:tcW w:type="dxa" w:w="36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Field</w:t>
            </w:r>
          </w:p>
        </w:tc>
        <w:tc>
          <w:tcPr>
            <w:tcW w:type="dxa" w:w="57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Entry</w:t>
            </w:r>
          </w:p>
        </w:tc>
      </w:tr>
      <w:tr>
        <w:trPr>
          <w:cantSplit/>
        </w:trPr>
        <w:tc>
          <w:tcPr>
            <w:tcW w:type="dxa" w:w="3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Budget spent to date against scope delivered and tested</w:t>
            </w:r>
          </w:p>
        </w:tc>
        <w:tc>
          <w:tcPr>
            <w:tcW w:type="dxa" w:w="57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3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Changes to scope since the last report, including anything moved to a later phase</w:t>
            </w:r>
          </w:p>
        </w:tc>
        <w:tc>
          <w:tcPr>
            <w:tcW w:type="dxa" w:w="57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4. Controls and financial reporting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blHeader/>
        </w:trPr>
        <w:tc>
          <w:tcPr>
            <w:tcW w:type="dxa" w:w="36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Field</w:t>
            </w:r>
          </w:p>
        </w:tc>
        <w:tc>
          <w:tcPr>
            <w:tcW w:type="dxa" w:w="57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Entry</w:t>
            </w:r>
          </w:p>
        </w:tc>
      </w:tr>
      <w:tr>
        <w:trPr>
          <w:cantSplit/>
        </w:trPr>
        <w:tc>
          <w:tcPr>
            <w:tcW w:type="dxa" w:w="3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Key financial controls changing this quarter, with future-state owners and test status</w:t>
            </w:r>
          </w:p>
        </w:tc>
        <w:tc>
          <w:tcPr>
            <w:tcW w:type="dxa" w:w="57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3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Open segregation-of-duties conflicts and temporary access past its expiry date</w:t>
            </w:r>
          </w:p>
        </w:tc>
        <w:tc>
          <w:tcPr>
            <w:tcW w:type="dxa" w:w="57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3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Comments from the external auditors and internal audit, and their status</w:t>
            </w:r>
          </w:p>
        </w:tc>
        <w:tc>
          <w:tcPr>
            <w:tcW w:type="dxa" w:w="57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5. Top risks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cantSplit/>
          <w:tblHeader/>
        </w:trPr>
        <w:tc>
          <w:tcPr>
            <w:tcW w:type="dxa" w:w="1872"/>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Risk</w:t>
            </w:r>
          </w:p>
        </w:tc>
        <w:tc>
          <w:tcPr>
            <w:tcW w:type="dxa" w:w="1872"/>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Owner</w:t>
            </w:r>
          </w:p>
        </w:tc>
        <w:tc>
          <w:tcPr>
            <w:tcW w:type="dxa" w:w="1872"/>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Mitigation</w:t>
            </w:r>
          </w:p>
        </w:tc>
        <w:tc>
          <w:tcPr>
            <w:tcW w:type="dxa" w:w="1872"/>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Date</w:t>
            </w:r>
          </w:p>
        </w:tc>
        <w:tc>
          <w:tcPr>
            <w:tcW w:type="dxa" w:w="1872"/>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Movement since last report</w:t>
            </w:r>
          </w:p>
        </w:tc>
      </w:tr>
      <w:tr>
        <w:trPr>
          <w:cantSplit/>
        </w:trPr>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r>
        <w:trPr>
          <w:cantSplit/>
        </w:trPr>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c>
          <w:tcPr>
            <w:tcW w:type="dxa" w:w="1872"/>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Meta"/>
      </w:pPr>
      <w:r>
        <w:t xml:space="preserve">List the three or four risks that would change the outcome.</w:t>
      </w:r>
    </w:p>
    <w:p>
      <w:pPr>
        <w:pStyle w:val="Heading1"/>
      </w:pPr>
      <w:r>
        <w:t xml:space="preserve">6. Decisions for the board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blHeader/>
        </w:trPr>
        <w:tc>
          <w:tcPr>
            <w:tcW w:type="dxa" w:w="36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Field</w:t>
            </w:r>
          </w:p>
        </w:tc>
        <w:tc>
          <w:tcPr>
            <w:tcW w:type="dxa" w:w="57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Entry</w:t>
            </w:r>
          </w:p>
        </w:tc>
      </w:tr>
      <w:tr>
        <w:trPr>
          <w:cantSplit/>
        </w:trPr>
        <w:tc>
          <w:tcPr>
            <w:tcW w:type="dxa" w:w="3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Decisions the board or committee may need to make in the next two quarters</w:t>
            </w:r>
          </w:p>
        </w:tc>
        <w:tc>
          <w:tcPr>
            <w:tcW w:type="dxa" w:w="57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1"/>
      </w:pPr>
      <w:r>
        <w:t xml:space="preserve">7. Independent view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blHeader/>
        </w:trPr>
        <w:tc>
          <w:tcPr>
            <w:tcW w:type="dxa" w:w="360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Field</w:t>
            </w:r>
          </w:p>
        </w:tc>
        <w:tc>
          <w:tcPr>
            <w:tcW w:type="dxa" w:w="5760"/>
            <w:tcBorders>
              <w:top w:val="single" w:color="D9D2C5" w:sz="4"/>
              <w:left w:val="single" w:color="D9D2C5" w:sz="4"/>
              <w:bottom w:val="single" w:color="D9D2C5" w:sz="4"/>
              <w:right w:val="single" w:color="D9D2C5" w:sz="4"/>
            </w:tcBorders>
            <w:shd w:fill="F3EDE2" w:color="auto" w:val="clear"/>
            <w:tcMar>
              <w:top w:type="dxa" w:w="80"/>
              <w:left w:type="dxa" w:w="110"/>
              <w:bottom w:type="dxa" w:w="80"/>
              <w:right w:type="dxa" w:w="110"/>
            </w:tcMar>
          </w:tcPr>
          <w:p>
            <w:pPr>
              <w:pStyle w:val="Cell"/>
            </w:pPr>
            <w:r>
              <w:rPr>
                <w:rFonts w:ascii="Calibri" w:cs="Calibri" w:eastAsia="Calibri" w:hAnsi="Calibri"/>
                <w:b/>
                <w:bCs/>
                <w:color w:val="24324A"/>
                <w:sz w:val="20"/>
                <w:szCs w:val="20"/>
              </w:rPr>
              <w:t xml:space="preserve">Entry</w:t>
            </w:r>
          </w:p>
        </w:tc>
      </w:tr>
      <w:tr>
        <w:trPr>
          <w:cantSplit/>
        </w:trPr>
        <w:tc>
          <w:tcPr>
            <w:tcW w:type="dxa" w:w="360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Summary of the most recent internal audit or third-party review, and whether it agrees with the status reported above</w:t>
            </w:r>
          </w:p>
        </w:tc>
        <w:tc>
          <w:tcPr>
            <w:tcW w:type="dxa" w:w="5760"/>
            <w:tcBorders>
              <w:top w:val="single" w:color="D9D2C5" w:sz="4"/>
              <w:left w:val="single" w:color="D9D2C5" w:sz="4"/>
              <w:bottom w:val="single" w:color="D9D2C5" w:sz="4"/>
              <w:right w:val="single" w:color="D9D2C5" w:sz="4"/>
            </w:tcBorders>
            <w:tcMar>
              <w:top w:type="dxa" w:w="80"/>
              <w:left w:type="dxa" w:w="110"/>
              <w:bottom w:type="dxa" w:w="80"/>
              <w:right w:type="dxa" w:w="110"/>
            </w:tcMar>
          </w:tcPr>
          <w:p>
            <w:pPr>
              <w:pStyle w:val="Cell"/>
            </w:pPr>
            <w:r>
              <w:rPr>
                <w:rFonts w:ascii="Calibri" w:cs="Calibri" w:eastAsia="Calibri" w:hAnsi="Calibri"/>
                <w:b w:val="false"/>
                <w:bCs w:val="false"/>
                <w:sz w:val="20"/>
                <w:szCs w:val="20"/>
              </w:rPr>
              <w:t xml:space="preserve"/>
            </w:r>
          </w:p>
        </w:tc>
      </w:tr>
    </w:tbl>
    <w:p>
      <w:pPr>
        <w:pStyle w:val="Body"/>
        <w:spacing w:after="60"/>
      </w:pPr>
    </w:p>
    <w:p>
      <w:pPr>
        <w:pStyle w:val="Heading2"/>
      </w:pPr>
      <w:r>
        <w:t xml:space="preserve">Notes</w:t>
      </w:r>
    </w:p>
    <w:p>
      <w:pPr>
        <w:pStyle w:val="Fine"/>
      </w:pPr>
      <w:r>
        <w:t xml:space="preserve">Adapt this template to your organization, jurisdiction and governing documents. It is a general resource, not legal advice. Review with counsel before adoption.</w:t>
      </w:r>
    </w:p>
    <w:sectPr>
      <w:footerReference w:type="default" r:id="rId7"/>
      <w:pgSz w:w="12240" w:h="15840" w:orient="portrait"/>
      <w:pgMar w:top="1440" w:right="1440" w:bottom="1440" w:left="1440" w:header="708"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pBdr>
        <w:top w:val="single" w:color="D9D2C5" w:sz="4" w:space="6"/>
      </w:pBdr>
      <w:tabs>
        <w:tab w:val="right" w:pos="9360"/>
      </w:tabs>
    </w:pPr>
    <w:r>
      <w:t xml:space="preserve">Prepared by Jacob James Kahn · jacobjameskahn.net · Review with counsel before adoption.</w:t>
    </w:r>
    <w: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D273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80"/>
    </w:pPr>
    <w:rPr>
      <w:rFonts w:ascii="Georgia" w:cs="Georgia" w:eastAsia="Georgia" w:hAnsi="Georgia"/>
      <w:b/>
      <w:bCs/>
      <w:color w:val="24324A"/>
      <w:sz w:val="44"/>
      <w:szCs w:val="44"/>
    </w:rPr>
  </w:style>
  <w:style w:type="paragraph" w:styleId="Heading1">
    <w:name w:val="Heading 1"/>
    <w:basedOn w:val="Normal"/>
    <w:next w:val="Normal"/>
    <w:qFormat/>
    <w:pPr>
      <w:keepNext/>
      <w:spacing w:after="120" w:before="320"/>
      <w:outlineLvl w:val="0"/>
    </w:pPr>
    <w:rPr>
      <w:rFonts w:ascii="Georgia" w:cs="Georgia" w:eastAsia="Georgia" w:hAnsi="Georgia"/>
      <w:b/>
      <w:bCs/>
      <w:color w:val="24324A"/>
      <w:sz w:val="28"/>
      <w:szCs w:val="28"/>
    </w:rPr>
  </w:style>
  <w:style w:type="paragraph" w:styleId="Heading2">
    <w:name w:val="Heading 2"/>
    <w:basedOn w:val="Normal"/>
    <w:next w:val="Normal"/>
    <w:qFormat/>
    <w:pPr>
      <w:keepNext/>
      <w:spacing w:after="100" w:before="240"/>
      <w:outlineLvl w:val="1"/>
    </w:pPr>
    <w:rPr>
      <w:rFonts w:ascii="Georgia" w:cs="Georgia" w:eastAsia="Georgia" w:hAnsi="Georgia"/>
      <w:b/>
      <w:bCs/>
      <w:color w:val="24324A"/>
      <w:sz w:val="24"/>
      <w:szCs w:val="24"/>
    </w:rPr>
  </w:style>
  <w:style w:type="paragraph" w:styleId="Heading3">
    <w:name w:val="Heading 3"/>
    <w:basedOn w:val="Normal"/>
    <w:next w:val="Normal"/>
    <w:qFormat/>
    <w:pPr>
      <w:keepNext/>
      <w:spacing w:after="60" w:before="160"/>
      <w:outlineLvl w:val="2"/>
    </w:pPr>
    <w:rPr>
      <w:rFonts w:ascii="Calibri" w:cs="Calibri" w:eastAsia="Calibri" w:hAnsi="Calibri"/>
      <w:b/>
      <w:bCs/>
      <w:color w:val="7D5309"/>
      <w:sz w:val="22"/>
      <w:szCs w:val="22"/>
    </w:rPr>
  </w:style>
  <w:style w:type="paragraph" w:styleId="Kicker">
    <w:name w:val="Kicker"/>
    <w:basedOn w:val="Normal"/>
    <w:pPr>
      <w:spacing w:after="120"/>
    </w:pPr>
    <w:rPr>
      <w:rFonts w:ascii="Calibri" w:cs="Calibri" w:eastAsia="Calibri" w:hAnsi="Calibri"/>
      <w:b/>
      <w:bCs/>
      <w:color w:val="7D5309"/>
      <w:spacing w:val="20"/>
      <w:sz w:val="17"/>
      <w:szCs w:val="17"/>
    </w:rPr>
  </w:style>
  <w:style w:type="paragraph" w:styleId="Meta">
    <w:name w:val="Meta"/>
    <w:basedOn w:val="Normal"/>
    <w:pPr>
      <w:spacing w:after="240"/>
    </w:pPr>
    <w:rPr>
      <w:rFonts w:ascii="Calibri" w:cs="Calibri" w:eastAsia="Calibri" w:hAnsi="Calibri"/>
      <w:color w:val="5D6676"/>
      <w:sz w:val="18"/>
      <w:szCs w:val="18"/>
    </w:rPr>
  </w:style>
  <w:style w:type="paragraph" w:styleId="Body">
    <w:name w:val="Body"/>
    <w:basedOn w:val="Normal"/>
    <w:pPr>
      <w:spacing w:after="120" w:line="288"/>
    </w:pPr>
    <w:rPr>
      <w:rFonts w:ascii="Calibri" w:cs="Calibri" w:eastAsia="Calibri" w:hAnsi="Calibri"/>
      <w:sz w:val="21"/>
      <w:szCs w:val="21"/>
    </w:rPr>
  </w:style>
  <w:style w:type="paragraph" w:styleId="Cell">
    <w:name w:val="Cell"/>
    <w:basedOn w:val="Normal"/>
    <w:pPr>
      <w:spacing w:after="0" w:line="264"/>
    </w:pPr>
    <w:rPr>
      <w:rFonts w:ascii="Calibri" w:cs="Calibri" w:eastAsia="Calibri" w:hAnsi="Calibri"/>
      <w:sz w:val="20"/>
      <w:szCs w:val="20"/>
    </w:rPr>
  </w:style>
  <w:style w:type="paragraph" w:styleId="Fine">
    <w:name w:val="Fine"/>
    <w:basedOn w:val="Normal"/>
    <w:pPr>
      <w:spacing w:after="80"/>
    </w:pPr>
    <w:rPr>
      <w:rFonts w:ascii="Calibri" w:cs="Calibri" w:eastAsia="Calibri" w:hAnsi="Calibri"/>
      <w:i/>
      <w:iCs/>
      <w:color w:val="5D6676"/>
      <w:sz w:val="18"/>
      <w:szCs w:val="18"/>
    </w:rPr>
  </w:style>
  <w:style w:type="paragraph" w:styleId="FooterText">
    <w:name w:val="Footer Text"/>
    <w:basedOn w:val="Normal"/>
    <w:rPr>
      <w:rFonts w:ascii="Calibri" w:cs="Calibri" w:eastAsia="Calibri" w:hAnsi="Calibri"/>
      <w:color w:val="5D6676"/>
      <w:sz w:val="16"/>
      <w:szCs w:val="1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Transformation Oversight Dashboard (Board Pack Template)</dc:title>
  <dc:subject>Governance Toolkit</dc:subject>
  <dc:creator>Jacob James Kahn</dc:creator>
  <cp:keywords>board governance, financial controls through technology change</cp:keywords>
  <dc:description>A one-page board pack template for reporting a major technology or ERP program the same way every quarter.</dc:description>
  <cp:lastModifiedBy>Jacob James Kahn</cp:lastModifiedBy>
  <cp:revision>1</cp:revision>
  <dcterms:created xsi:type="dcterms:W3CDTF">2026-10-07T23:02:42.201Z</dcterms:created>
  <dcterms:modified xsi:type="dcterms:W3CDTF">2026-10-07T23:02:42.201Z</dcterms:modified>
</cp:coreProperties>
</file>

<file path=docProps/custom.xml><?xml version="1.0" encoding="utf-8"?>
<Properties xmlns="http://schemas.openxmlformats.org/officeDocument/2006/custom-properties" xmlns:vt="http://schemas.openxmlformats.org/officeDocument/2006/docPropsVTypes"/>
</file>