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Kicker"/>
      </w:pPr>
      <w:r>
        <w:t xml:space="preserve">GOVERNANCE TOOLKIT · AI AND TECHNOLOGY OVERSIGHT</w:t>
      </w:r>
    </w:p>
    <w:p>
      <w:pPr>
        <w:pStyle w:val="Title"/>
      </w:pPr>
      <w:r>
        <w:t xml:space="preserve">Technology Risk Oversight Checklist</w:t>
      </w:r>
    </w:p>
    <w:p>
      <w:pPr>
        <w:pStyle w:val="Meta"/>
      </w:pPr>
      <w:r>
        <w:t xml:space="preserve">Version 1.1 · Last updated October 7, 2026 · Prepared by Jacob James Kahn</w:t>
      </w:r>
    </w:p>
    <w:p>
      <w:pPr>
        <w:pStyle w:val="Body"/>
      </w:pPr>
      <w:r>
        <w:t xml:space="preserve">A board checklist for overseeing technology and cyber risk: ownership, risk appetite and reporting, major programs, cybersecurity and resilience, data and AI, and board capability.</w:t>
      </w:r>
    </w:p>
    <w:p>
      <w:pPr>
        <w:pStyle w:val="Heading2"/>
      </w:pPr>
      <w:r>
        <w:t xml:space="preserve">How to use this document</w:t>
      </w:r>
    </w:p>
    <w:p>
      <w:pPr>
        <w:pStyle w:val="Body"/>
        <w:numPr>
          <w:ilvl w:val="0"/>
          <w:numId w:val="2"/>
        </w:numPr>
      </w:pPr>
      <w:r>
        <w:t xml:space="preserve">Work through the checklist once a year with the committee that owns technology risk, or with the full board.</w:t>
      </w:r>
    </w:p>
    <w:p>
      <w:pPr>
        <w:pStyle w:val="Body"/>
        <w:numPr>
          <w:ilvl w:val="0"/>
          <w:numId w:val="2"/>
        </w:numPr>
      </w:pPr>
      <w:r>
        <w:t xml:space="preserve">Mark each item Yes, Partly or No, and agree owners and dates for every gap.</w:t>
      </w:r>
    </w:p>
    <w:p>
      <w:pPr>
        <w:pStyle w:val="Body"/>
        <w:numPr>
          <w:ilvl w:val="0"/>
          <w:numId w:val="2"/>
        </w:numPr>
      </w:pPr>
      <w:r>
        <w:t xml:space="preserve">Revisit open items at each meeting until they are closed.</w:t>
      </w:r>
    </w:p>
    <w:p>
      <w:pPr>
        <w:pStyle w:val="Heading1"/>
      </w:pPr>
      <w:r>
        <w:t xml:space="preserve">1. Governance and accountability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4600"/>
        <w:gridCol w:w="2700"/>
        <w:gridCol w:w="1500"/>
      </w:tblGrid>
      <w:tr>
        <w:trPr>
          <w:cantSplit/>
          <w:tblHeader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#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Item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Status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Owner / date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Oversight of technology and cyber risk is assigned to the full board or a named committee, and written into its charter or the annual board schedule.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Yes   ☐ Partly   ☐ No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 named executive is accountable for technology risk, with a clear reporting line to the board.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Yes   ☐ Partly   ☐ No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Technology risk is on the agenda at a set frequency, not only when something goes wrong.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Yes   ☐ Partly   ☐ No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The board or committee meets the CIO and CISO directly at least annually, including time without other management present.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Yes   ☐ Partly   ☐ No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Body"/>
        <w:spacing w:after="60"/>
      </w:pPr>
    </w:p>
    <w:p>
      <w:pPr>
        <w:pStyle w:val="Heading1"/>
      </w:pPr>
      <w:r>
        <w:t xml:space="preserve">2. Risk appetite and reporting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4600"/>
        <w:gridCol w:w="2700"/>
        <w:gridCol w:w="1500"/>
      </w:tblGrid>
      <w:tr>
        <w:trPr>
          <w:cantSplit/>
          <w:tblHeader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#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Item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Status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Owner / date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The board has approved a risk appetite statement that covers technology, cyber and data risk.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Yes   ☐ Partly   ☐ No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Reporting describes technology risk in business terms: revenue, cash, customers, operations and reputation.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Yes   ☐ Partly   ☐ No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Key risk indicators have defined thresholds, show trends over time, and say what would trigger escalation.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Yes   ☐ Partly   ☐ No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The top technology risks are listed with owners, mitigation plans and dates, and the list changes when the risks change.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Yes   ☐ Partly   ☐ No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Body"/>
        <w:spacing w:after="60"/>
      </w:pPr>
    </w:p>
    <w:p>
      <w:pPr>
        <w:pStyle w:val="Heading1"/>
      </w:pPr>
      <w:r>
        <w:t xml:space="preserve">3. Major programs and systems change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4600"/>
        <w:gridCol w:w="2700"/>
        <w:gridCol w:w="1500"/>
      </w:tblGrid>
      <w:tr>
        <w:trPr>
          <w:cantSplit/>
          <w:tblHeader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#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Item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Status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Owner / date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Every major technology program has an approved business case, and benefits are tracked against it after go-live.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Yes   ☐ Partly   ☐ No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Program status reports define what each status color means and show trends in dates, budget and delivered scope.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Yes   ☐ Partly   ☐ No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For ERP and finance-system changes, management has identified which key financial controls will change and who owns them in the future state.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Yes   ☐ Partly   ☐ No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The external auditors review redesigned controls before go-live, not at year-end.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Yes   ☐ Partly   ☐ No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Go-live criteria are agreed in advance, and a named person has authority to delay.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Yes   ☐ Partly   ☐ No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Internal audit or an independent party reviews major programs before and after go-live.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Yes   ☐ Partly   ☐ No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Body"/>
        <w:spacing w:after="60"/>
      </w:pPr>
    </w:p>
    <w:p>
      <w:pPr>
        <w:pStyle w:val="Heading1"/>
      </w:pPr>
      <w:r>
        <w:t xml:space="preserve">4. Cybersecurity and resilience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4600"/>
        <w:gridCol w:w="2700"/>
        <w:gridCol w:w="1500"/>
      </w:tblGrid>
      <w:tr>
        <w:trPr>
          <w:cantSplit/>
          <w:tblHeader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#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Item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Status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Owner / date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Management maintains an inventory of critical systems and data, and the board knows which ones matter most.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Yes   ☐ Partly   ☐ No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The incident response plan is tested at least annually, with board notification thresholds defined.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Yes   ☐ Partly   ☐ No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Recovery time objectives for critical systems are set and tested through recovery exercises.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Yes   ☐ Partly   ☐ No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Third-party and vendor technology risk is assessed, including critical cloud and software providers.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Yes   ☐ Partly   ☐ No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 process exists to assess whether an incident is material and must be disclosed, with the right people involved.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Yes   ☐ Partly   ☐ No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Body"/>
        <w:spacing w:after="60"/>
      </w:pPr>
    </w:p>
    <w:p>
      <w:pPr>
        <w:pStyle w:val="Heading1"/>
      </w:pPr>
      <w:r>
        <w:t xml:space="preserve">5. Data, AI and emerging technology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4600"/>
        <w:gridCol w:w="2700"/>
        <w:gridCol w:w="1500"/>
      </w:tblGrid>
      <w:tr>
        <w:trPr>
          <w:cantSplit/>
          <w:tblHeader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#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Item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Status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Owner / date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Management maintains an inventory of AI use, including AI built into vendor products.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Yes   ☐ Partly   ☐ No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The board has reviewed an AI use policy with clear limits and escalation thresholds.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Yes   ☐ Partly   ☐ No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Data governance and privacy obligations are assigned, monitored and reported.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Yes   ☐ Partly   ☐ No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Body"/>
        <w:spacing w:after="60"/>
      </w:pPr>
    </w:p>
    <w:p>
      <w:pPr>
        <w:pStyle w:val="Heading1"/>
      </w:pPr>
      <w:r>
        <w:t xml:space="preserve">6. Board capability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4600"/>
        <w:gridCol w:w="2700"/>
        <w:gridCol w:w="1500"/>
      </w:tblGrid>
      <w:tr>
        <w:trPr>
          <w:cantSplit/>
          <w:tblHeader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#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Item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Status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Owner / date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The board skills matrix includes technology, cyber or AI oversight, and gaps inform director searches.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Yes   ☐ Partly   ☐ No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Directors receive technology and cyber education at least annually.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Yes   ☐ Partly   ☐ No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The board can call on independent outside expertise when it needs a second view.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Yes   ☐ Partly   ☐ No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Body"/>
        <w:spacing w:after="60"/>
      </w:pPr>
    </w:p>
    <w:p>
      <w:pPr>
        <w:pStyle w:val="Heading1"/>
      </w:pPr>
      <w:r>
        <w:t xml:space="preserve">7. Annual review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"/>
        <w:gridCol w:w="4600"/>
        <w:gridCol w:w="2700"/>
        <w:gridCol w:w="1500"/>
      </w:tblGrid>
      <w:tr>
        <w:trPr>
          <w:cantSplit/>
          <w:tblHeader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#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Item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Status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shd w:fill="F3EDE2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/>
                <w:bCs/>
                <w:color w:val="24324A"/>
                <w:sz w:val="20"/>
                <w:szCs w:val="20"/>
              </w:rPr>
              <w:t xml:space="preserve">Owner / date</w:t>
            </w:r>
          </w:p>
        </w:tc>
      </w:tr>
      <w:tr>
        <w:trPr>
          <w:cantSplit/>
        </w:trPr>
        <w:tc>
          <w:tcPr>
            <w:tcW w:type="dxa" w:w="56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46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The committee reviews this checklist, its charter duties for technology risk, and its own effectiveness each year.</w:t>
            </w:r>
          </w:p>
        </w:tc>
        <w:tc>
          <w:tcPr>
            <w:tcW w:type="dxa" w:w="27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☐ Yes   ☐ Partly   ☐ No</w:t>
            </w:r>
          </w:p>
        </w:tc>
        <w:tc>
          <w:tcPr>
            <w:tcW w:type="dxa" w:w="1500"/>
            <w:tcBorders>
              <w:top w:val="single" w:color="D9D2C5" w:sz="4"/>
              <w:left w:val="single" w:color="D9D2C5" w:sz="4"/>
              <w:bottom w:val="single" w:color="D9D2C5" w:sz="4"/>
              <w:right w:val="single" w:color="D9D2C5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pStyle w:val="Cell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Style w:val="Body"/>
        <w:spacing w:after="60"/>
      </w:pPr>
    </w:p>
    <w:p>
      <w:pPr>
        <w:pStyle w:val="Heading2"/>
      </w:pPr>
      <w:r>
        <w:t xml:space="preserve">Notes</w:t>
      </w:r>
    </w:p>
    <w:p>
      <w:pPr>
        <w:pStyle w:val="Fine"/>
      </w:pPr>
      <w:r>
        <w:t xml:space="preserve">Adapt this template to your organization, jurisdiction and governing documents. It is a general resource, not legal advice. Review with counsel before adoption.</w:t>
      </w:r>
    </w:p>
    <w:sectPr>
      <w:footerReference w:type="default" r:id="rId7"/>
      <w:pgSz w:w="12240" w:h="15840" w:orient="portrait"/>
      <w:pgMar w:top="1440" w:right="1440" w:bottom="1440" w:left="1440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Text"/>
      <w:pBdr>
        <w:top w:val="single" w:color="D9D2C5" w:sz="4" w:space="6"/>
      </w:pBdr>
      <w:tabs>
        <w:tab w:val="right" w:pos="9360"/>
      </w:tabs>
    </w:pPr>
    <w:r>
      <w:t xml:space="preserve">Prepared by Jacob James Kahn · jacobjameskahn.net · Review with counsel before adoption.</w:t>
    </w:r>
    <w: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D2738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80"/>
    </w:pPr>
    <w:rPr>
      <w:rFonts w:ascii="Georgia" w:cs="Georgia" w:eastAsia="Georgia" w:hAnsi="Georgia"/>
      <w:b/>
      <w:bCs/>
      <w:color w:val="24324A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after="120" w:before="320"/>
      <w:outlineLvl w:val="0"/>
    </w:pPr>
    <w:rPr>
      <w:rFonts w:ascii="Georgia" w:cs="Georgia" w:eastAsia="Georgia" w:hAnsi="Georgia"/>
      <w:b/>
      <w:bCs/>
      <w:color w:val="24324A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240"/>
      <w:outlineLvl w:val="1"/>
    </w:pPr>
    <w:rPr>
      <w:rFonts w:ascii="Georgia" w:cs="Georgia" w:eastAsia="Georgia" w:hAnsi="Georgia"/>
      <w:b/>
      <w:bCs/>
      <w:color w:val="24324A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spacing w:after="60" w:before="160"/>
      <w:outlineLvl w:val="2"/>
    </w:pPr>
    <w:rPr>
      <w:rFonts w:ascii="Calibri" w:cs="Calibri" w:eastAsia="Calibri" w:hAnsi="Calibri"/>
      <w:b/>
      <w:bCs/>
      <w:color w:val="7D5309"/>
      <w:sz w:val="22"/>
      <w:szCs w:val="22"/>
    </w:rPr>
  </w:style>
  <w:style w:type="paragraph" w:styleId="Kicker">
    <w:name w:val="Kicker"/>
    <w:basedOn w:val="Normal"/>
    <w:pPr>
      <w:spacing w:after="120"/>
    </w:pPr>
    <w:rPr>
      <w:rFonts w:ascii="Calibri" w:cs="Calibri" w:eastAsia="Calibri" w:hAnsi="Calibri"/>
      <w:b/>
      <w:bCs/>
      <w:color w:val="7D5309"/>
      <w:spacing w:val="20"/>
      <w:sz w:val="17"/>
      <w:szCs w:val="17"/>
    </w:rPr>
  </w:style>
  <w:style w:type="paragraph" w:styleId="Meta">
    <w:name w:val="Meta"/>
    <w:basedOn w:val="Normal"/>
    <w:pPr>
      <w:spacing w:after="240"/>
    </w:pPr>
    <w:rPr>
      <w:rFonts w:ascii="Calibri" w:cs="Calibri" w:eastAsia="Calibri" w:hAnsi="Calibri"/>
      <w:color w:val="5D6676"/>
      <w:sz w:val="18"/>
      <w:szCs w:val="18"/>
    </w:rPr>
  </w:style>
  <w:style w:type="paragraph" w:styleId="Body">
    <w:name w:val="Body"/>
    <w:basedOn w:val="Normal"/>
    <w:pPr>
      <w:spacing w:after="120" w:line="288"/>
    </w:pPr>
    <w:rPr>
      <w:rFonts w:ascii="Calibri" w:cs="Calibri" w:eastAsia="Calibri" w:hAnsi="Calibri"/>
      <w:sz w:val="21"/>
      <w:szCs w:val="21"/>
    </w:rPr>
  </w:style>
  <w:style w:type="paragraph" w:styleId="Cell">
    <w:name w:val="Cell"/>
    <w:basedOn w:val="Normal"/>
    <w:pPr>
      <w:spacing w:after="0" w:line="264"/>
    </w:pPr>
    <w:rPr>
      <w:rFonts w:ascii="Calibri" w:cs="Calibri" w:eastAsia="Calibri" w:hAnsi="Calibri"/>
      <w:sz w:val="20"/>
      <w:szCs w:val="20"/>
    </w:rPr>
  </w:style>
  <w:style w:type="paragraph" w:styleId="Fine">
    <w:name w:val="Fine"/>
    <w:basedOn w:val="Normal"/>
    <w:pPr>
      <w:spacing w:after="80"/>
    </w:pPr>
    <w:rPr>
      <w:rFonts w:ascii="Calibri" w:cs="Calibri" w:eastAsia="Calibri" w:hAnsi="Calibri"/>
      <w:i/>
      <w:iCs/>
      <w:color w:val="5D6676"/>
      <w:sz w:val="18"/>
      <w:szCs w:val="18"/>
    </w:rPr>
  </w:style>
  <w:style w:type="paragraph" w:styleId="FooterText">
    <w:name w:val="Footer Text"/>
    <w:basedOn w:val="Normal"/>
    <w:rPr>
      <w:rFonts w:ascii="Calibri" w:cs="Calibri" w:eastAsia="Calibri" w:hAnsi="Calibri"/>
      <w:color w:val="5D6676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Technology Risk Oversight Checklist</dc:title>
  <dc:subject>Governance Toolkit</dc:subject>
  <dc:creator>Jacob James Kahn</dc:creator>
  <cp:keywords>board governance, ai and technology oversight</cp:keywords>
  <dc:description>A board checklist for overseeing technology and cyber risk.</dc:description>
  <cp:lastModifiedBy>Jacob James Kahn</cp:lastModifiedBy>
  <cp:revision>1</cp:revision>
  <dcterms:created xsi:type="dcterms:W3CDTF">2026-10-07T23:02:42.247Z</dcterms:created>
  <dcterms:modified xsi:type="dcterms:W3CDTF">2026-10-07T23:02:42.247Z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