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Kicker"/>
      </w:pPr>
      <w:r>
        <w:t xml:space="preserve">GOVERNANCE TOOLKIT · AI AND TECHNOLOGY OVERSIGHT</w:t>
      </w:r>
    </w:p>
    <w:p>
      <w:pPr>
        <w:pStyle w:val="Title"/>
      </w:pPr>
      <w:r>
        <w:t xml:space="preserve">Reading Item 1C: A Director's Guide to Cybersecurity Disclosures</w:t>
      </w:r>
    </w:p>
    <w:p>
      <w:pPr>
        <w:pStyle w:val="Meta"/>
      </w:pPr>
      <w:r>
        <w:t xml:space="preserve">Version 1.0 · Last updated October 7, 2026 · Prepared by Jacob James Kahn</w:t>
      </w:r>
    </w:p>
    <w:p>
      <w:pPr>
        <w:pStyle w:val="Body"/>
      </w:pPr>
      <w:r>
        <w:t xml:space="preserve">Since fiscal years ending on or after December 15, 2023, a U.S. public company's annual report on Form 10-K includes Item 1C, Cybersecurity. Item 1C carries the disclosure required by Regulation S-K Item 106. This guide summarizes what the item asks a company to describe and gives directors a checklist for comparing their own company's disclosure with what the board actually receives. It is a reading aid, not legal analysis; the company's counsel and disclosure committee own the disclosure itself.</w:t>
      </w:r>
    </w:p>
    <w:p>
      <w:pPr>
        <w:pStyle w:val="Heading2"/>
      </w:pPr>
      <w:r>
        <w:t xml:space="preserve">How to use this document</w:t>
      </w:r>
    </w:p>
    <w:p>
      <w:pPr>
        <w:pStyle w:val="Body"/>
        <w:numPr>
          <w:ilvl w:val="0"/>
          <w:numId w:val="2"/>
        </w:numPr>
      </w:pPr>
      <w:r>
        <w:t xml:space="preserve">Read your company's most recent Item 1C alongside this guide.</w:t>
      </w:r>
    </w:p>
    <w:p>
      <w:pPr>
        <w:pStyle w:val="Body"/>
        <w:numPr>
          <w:ilvl w:val="0"/>
          <w:numId w:val="2"/>
        </w:numPr>
      </w:pPr>
      <w:r>
        <w:t xml:space="preserve">Work through the checklist and note where the disclosure and the board's own experience differ.</w:t>
      </w:r>
    </w:p>
    <w:p>
      <w:pPr>
        <w:pStyle w:val="Body"/>
        <w:numPr>
          <w:ilvl w:val="0"/>
          <w:numId w:val="2"/>
        </w:numPr>
      </w:pPr>
      <w:r>
        <w:t xml:space="preserve">Raise any differences with management and counsel before the next annual report is drafted.</w:t>
      </w:r>
    </w:p>
    <w:p>
      <w:pPr>
        <w:pStyle w:val="Heading1"/>
      </w:pPr>
      <w:r>
        <w:t xml:space="preserve">1. What Item 1C asks a company to describe</w:t>
      </w:r>
    </w:p>
    <w:p>
      <w:pPr>
        <w:pStyle w:val="Body"/>
      </w:pPr>
      <w:r>
        <w:rPr>
          <w:b/>
          <w:bCs/>
          <w:color w:val="24324A"/>
        </w:rPr>
        <w:t xml:space="preserve">Risk management and strategy. </w:t>
      </w:r>
      <w:r>
        <w:t xml:space="preserve">The company describes its processes, if any, for assessing, identifying and managing material risks from cybersecurity threats, in enough detail for a reasonable investor to understand them. The description addresses whether those processes are part of the company's overall risk management, whether the company engages assessors, auditors or other third parties in connection with them, and whether it has processes to oversee and identify risks from third-party service providers. The company also describes whether risks from cybersecurity threats, including previous incidents, have materially affected or are reasonably likely to materially affect its business strategy, results of operations or financial condition, and how.</w:t>
      </w:r>
    </w:p>
    <w:p>
      <w:pPr>
        <w:pStyle w:val="Body"/>
      </w:pPr>
      <w:r>
        <w:rPr>
          <w:b/>
          <w:bCs/>
          <w:color w:val="24324A"/>
        </w:rPr>
        <w:t xml:space="preserve">Governance: the board. </w:t>
      </w:r>
      <w:r>
        <w:t xml:space="preserve">The company describes the board's oversight of risks from cybersecurity threats. If a committee or subcommittee is responsible for that oversight, the disclosure identifies it and describes the processes by which the board or committee is informed about those risks.</w:t>
      </w:r>
    </w:p>
    <w:p>
      <w:pPr>
        <w:pStyle w:val="Body"/>
      </w:pPr>
      <w:r>
        <w:rPr>
          <w:b/>
          <w:bCs/>
          <w:color w:val="24324A"/>
        </w:rPr>
        <w:t xml:space="preserve">Governance: management. </w:t>
      </w:r>
      <w:r>
        <w:t xml:space="preserve">The company describes management's role in assessing and managing material cybersecurity risks. This can include which management positions or committees are responsible and the relevant expertise of the people in them; the processes by which they are informed about and monitor the prevention, detection, mitigation and remediation of cybersecurity incidents; and whether they report information about those risks to the board or a committee.</w:t>
      </w:r>
    </w:p>
    <w:p>
      <w:pPr>
        <w:pStyle w:val="Heading1"/>
      </w:pPr>
      <w:r>
        <w:t xml:space="preserve">2. What Item 1C does not cover</w:t>
      </w:r>
    </w:p>
    <w:p>
      <w:pPr>
        <w:pStyle w:val="Body"/>
      </w:pPr>
      <w:r>
        <w:t xml:space="preserve">Item 1C describes processes and governance. It is separate from the disclosure of a specific material cybersecurity incident, which a public company reports on Form 8-K under Item 1.05. Smaller reporting companies, foreign private issuers and asset-backed issuers can have different requirements; counsel can confirm which apply.</w:t>
      </w:r>
    </w:p>
    <w:p>
      <w:pPr>
        <w:pStyle w:val="Heading1"/>
      </w:pPr>
      <w:r>
        <w:t xml:space="preserve">3. Why it matters to directors</w:t>
      </w:r>
    </w:p>
    <w:p>
      <w:pPr>
        <w:pStyle w:val="Body"/>
      </w:pPr>
      <w:r>
        <w:t xml:space="preserve">Item 1C puts the board's own oversight process into the annual report. A director should be able to recognize the board's real practice in the description: the committee named, how often it is briefed, by whom, and on what. When the disclosure and the board's experience differ, either the disclosure or the practice needs attention.</w:t>
      </w:r>
    </w:p>
    <w:p>
      <w:pPr>
        <w:pStyle w:val="Heading1"/>
      </w:pPr>
      <w:r>
        <w:t xml:space="preserve">4. Checklist: reading your company's Item 1C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2700"/>
        <w:gridCol w:w="15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4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Item</w:t>
            </w:r>
          </w:p>
        </w:tc>
        <w:tc>
          <w:tcPr>
            <w:tcW w:type="dxa" w:w="27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Status</w:t>
            </w:r>
          </w:p>
        </w:tc>
        <w:tc>
          <w:tcPr>
            <w:tcW w:type="dxa" w:w="15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Owner / date</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disclosure names the committee (or the full board) that oversees cybersecurity risk, and that matches the committee's charter.</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described reporting to the board or committee (who briefs it, how often, on what) matches what directors actually receive.</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management roles named in the disclosure are the people who brief the board, and the stated expertise is accurate.</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4</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description of how cybersecurity risk fits into overall risk management matches the enterprise risk process the board sees.</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5</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use of assessors, auditors or other third parties described in the disclosure is reflected in reports the board has seen.</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6</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process for overseeing risk from third-party service providers is described, and the board has seen evidence of it.</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7</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statement on whether cybersecurity risks have materially affected, or are reasonably likely to affect, the business is consistent with the risk factors and with what the board has discussed.</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8</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Language about incident detection, escalation and remediation matches the incident-response plan the board or committee has reviewed.</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9</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Nothing in the disclosure describes a practice the board has not seen operate during the year.</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10</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board knows who drafts Item 1C, who reviews it, and when directors see the draft.</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11</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disclosure has been compared with peer companies' Item 1C sections, and any significant differences are understood.</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12</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Follow-up actions from this review have an owner and a date.</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5. Questions to ask management and counsel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900"/>
        <w:gridCol w:w="19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60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Question</w:t>
            </w:r>
          </w:p>
        </w:tc>
        <w:tc>
          <w:tcPr>
            <w:tcW w:type="dxa" w:w="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Asked</w:t>
            </w:r>
          </w:p>
        </w:tc>
        <w:tc>
          <w:tcPr>
            <w:tcW w:type="dxa" w:w="19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Follow-up owner</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Which parts of our Item 1C changed from last year, and why?</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What evidence supports each statement about our processes and governance?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How would a material incident be escalated to the board, and how does that relate to the Form 8-K Item 1.05 process?</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4</w:t>
            </w:r>
          </w:p>
        </w:tc>
        <w:tc>
          <w:tcPr>
            <w:tcW w:type="dxa" w:w="60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Where do we describe intentions rather than practices that already operate?</w:t>
            </w:r>
          </w:p>
        </w:tc>
        <w:tc>
          <w:tcPr>
            <w:tcW w:type="dxa" w:w="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t>
            </w:r>
          </w:p>
        </w:tc>
        <w:tc>
          <w:tcPr>
            <w:tcW w:type="dxa" w:w="19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2"/>
      </w:pPr>
      <w:r>
        <w:t xml:space="preserve">Notes</w:t>
      </w:r>
    </w:p>
    <w:p>
      <w:pPr>
        <w:pStyle w:val="Fine"/>
      </w:pPr>
      <w:r>
        <w:t xml:space="preserve">Adapt this template to your organization, jurisdiction and governing documents. It is a general resource, not legal advice. Review with counsel before adoption.</w:t>
      </w:r>
    </w:p>
    <w:sectPr>
      <w:footerReference w:type="default" r:id="rId7"/>
      <w:pgSz w:w="12240" w:h="15840" w:orient="portrait"/>
      <w:pgMar w:top="1440" w:right="1440" w:bottom="1440" w:left="1440"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pBdr>
        <w:top w:val="single" w:color="D9D2C5" w:sz="4" w:space="6"/>
      </w:pBdr>
      <w:tabs>
        <w:tab w:val="right" w:pos="9360"/>
      </w:tabs>
    </w:pPr>
    <w:r>
      <w:t xml:space="preserve">Prepared by Jacob James Kahn · jacobjameskahn.net · Review with counsel before adoption.</w:t>
    </w:r>
    <w: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73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80"/>
    </w:pPr>
    <w:rPr>
      <w:rFonts w:ascii="Georgia" w:cs="Georgia" w:eastAsia="Georgia" w:hAnsi="Georgia"/>
      <w:b/>
      <w:bCs/>
      <w:color w:val="24324A"/>
      <w:sz w:val="44"/>
      <w:szCs w:val="44"/>
    </w:rPr>
  </w:style>
  <w:style w:type="paragraph" w:styleId="Heading1">
    <w:name w:val="Heading 1"/>
    <w:basedOn w:val="Normal"/>
    <w:next w:val="Normal"/>
    <w:qFormat/>
    <w:pPr>
      <w:keepNext/>
      <w:spacing w:after="120" w:before="320"/>
      <w:outlineLvl w:val="0"/>
    </w:pPr>
    <w:rPr>
      <w:rFonts w:ascii="Georgia" w:cs="Georgia" w:eastAsia="Georgia" w:hAnsi="Georgia"/>
      <w:b/>
      <w:bCs/>
      <w:color w:val="24324A"/>
      <w:sz w:val="28"/>
      <w:szCs w:val="28"/>
    </w:rPr>
  </w:style>
  <w:style w:type="paragraph" w:styleId="Heading2">
    <w:name w:val="Heading 2"/>
    <w:basedOn w:val="Normal"/>
    <w:next w:val="Normal"/>
    <w:qFormat/>
    <w:pPr>
      <w:keepNext/>
      <w:spacing w:after="100" w:before="240"/>
      <w:outlineLvl w:val="1"/>
    </w:pPr>
    <w:rPr>
      <w:rFonts w:ascii="Georgia" w:cs="Georgia" w:eastAsia="Georgia" w:hAnsi="Georgia"/>
      <w:b/>
      <w:bCs/>
      <w:color w:val="24324A"/>
      <w:sz w:val="24"/>
      <w:szCs w:val="24"/>
    </w:rPr>
  </w:style>
  <w:style w:type="paragraph" w:styleId="Heading3">
    <w:name w:val="Heading 3"/>
    <w:basedOn w:val="Normal"/>
    <w:next w:val="Normal"/>
    <w:qFormat/>
    <w:pPr>
      <w:keepNext/>
      <w:spacing w:after="60" w:before="160"/>
      <w:outlineLvl w:val="2"/>
    </w:pPr>
    <w:rPr>
      <w:rFonts w:ascii="Calibri" w:cs="Calibri" w:eastAsia="Calibri" w:hAnsi="Calibri"/>
      <w:b/>
      <w:bCs/>
      <w:color w:val="7D5309"/>
      <w:sz w:val="22"/>
      <w:szCs w:val="22"/>
    </w:rPr>
  </w:style>
  <w:style w:type="paragraph" w:styleId="Kicker">
    <w:name w:val="Kicker"/>
    <w:basedOn w:val="Normal"/>
    <w:pPr>
      <w:spacing w:after="120"/>
    </w:pPr>
    <w:rPr>
      <w:rFonts w:ascii="Calibri" w:cs="Calibri" w:eastAsia="Calibri" w:hAnsi="Calibri"/>
      <w:b/>
      <w:bCs/>
      <w:color w:val="7D5309"/>
      <w:spacing w:val="20"/>
      <w:sz w:val="17"/>
      <w:szCs w:val="17"/>
    </w:rPr>
  </w:style>
  <w:style w:type="paragraph" w:styleId="Meta">
    <w:name w:val="Meta"/>
    <w:basedOn w:val="Normal"/>
    <w:pPr>
      <w:spacing w:after="240"/>
    </w:pPr>
    <w:rPr>
      <w:rFonts w:ascii="Calibri" w:cs="Calibri" w:eastAsia="Calibri" w:hAnsi="Calibri"/>
      <w:color w:val="5D6676"/>
      <w:sz w:val="18"/>
      <w:szCs w:val="18"/>
    </w:rPr>
  </w:style>
  <w:style w:type="paragraph" w:styleId="Body">
    <w:name w:val="Body"/>
    <w:basedOn w:val="Normal"/>
    <w:pPr>
      <w:spacing w:after="120" w:line="288"/>
    </w:pPr>
    <w:rPr>
      <w:rFonts w:ascii="Calibri" w:cs="Calibri" w:eastAsia="Calibri" w:hAnsi="Calibri"/>
      <w:sz w:val="21"/>
      <w:szCs w:val="21"/>
    </w:rPr>
  </w:style>
  <w:style w:type="paragraph" w:styleId="Cell">
    <w:name w:val="Cell"/>
    <w:basedOn w:val="Normal"/>
    <w:pPr>
      <w:spacing w:after="0" w:line="264"/>
    </w:pPr>
    <w:rPr>
      <w:rFonts w:ascii="Calibri" w:cs="Calibri" w:eastAsia="Calibri" w:hAnsi="Calibri"/>
      <w:sz w:val="20"/>
      <w:szCs w:val="20"/>
    </w:rPr>
  </w:style>
  <w:style w:type="paragraph" w:styleId="Fine">
    <w:name w:val="Fine"/>
    <w:basedOn w:val="Normal"/>
    <w:pPr>
      <w:spacing w:after="80"/>
    </w:pPr>
    <w:rPr>
      <w:rFonts w:ascii="Calibri" w:cs="Calibri" w:eastAsia="Calibri" w:hAnsi="Calibri"/>
      <w:i/>
      <w:iCs/>
      <w:color w:val="5D6676"/>
      <w:sz w:val="18"/>
      <w:szCs w:val="18"/>
    </w:rPr>
  </w:style>
  <w:style w:type="paragraph" w:styleId="FooterText">
    <w:name w:val="Footer Text"/>
    <w:basedOn w:val="Normal"/>
    <w:rPr>
      <w:rFonts w:ascii="Calibri" w:cs="Calibri" w:eastAsia="Calibri" w:hAnsi="Calibri"/>
      <w:color w:val="5D6676"/>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Item 1C: A Director's Guide to Cybersecurity Disclosures</dc:title>
  <dc:subject>Governance Toolkit</dc:subject>
  <dc:creator>Jacob James Kahn</dc:creator>
  <cp:keywords>board governance, ai and technology oversight</cp:keywords>
  <dc:description>A plain-language guide to the cybersecurity section of the annual report and a checklist for reading your own company's disclosure.</dc:description>
  <cp:lastModifiedBy>Jacob James Kahn</cp:lastModifiedBy>
  <cp:revision>1</cp:revision>
  <dcterms:created xsi:type="dcterms:W3CDTF">2026-10-07T23:02:42.436Z</dcterms:created>
  <dcterms:modified xsi:type="dcterms:W3CDTF">2026-10-07T23:02:42.436Z</dcterms:modified>
</cp:coreProperties>
</file>

<file path=docProps/custom.xml><?xml version="1.0" encoding="utf-8"?>
<Properties xmlns="http://schemas.openxmlformats.org/officeDocument/2006/custom-properties" xmlns:vt="http://schemas.openxmlformats.org/officeDocument/2006/docPropsVTypes"/>
</file>