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Kicker"/>
      </w:pPr>
      <w:r>
        <w:t xml:space="preserve">GOVERNANCE TOOLKIT · PRIVATE CAPITAL AND PRIVATE COMPANY GOVERNANCE</w:t>
      </w:r>
    </w:p>
    <w:p>
      <w:pPr>
        <w:pStyle w:val="Title"/>
      </w:pPr>
      <w:r>
        <w:t xml:space="preserve">Private Company Board Essentials Checklist</w:t>
      </w:r>
    </w:p>
    <w:p>
      <w:pPr>
        <w:pStyle w:val="Meta"/>
      </w:pPr>
      <w:r>
        <w:t xml:space="preserve">Version 1.0 · Last updated October 7, 2026 · Prepared by Jacob James Kahn</w:t>
      </w:r>
    </w:p>
    <w:p>
      <w:pPr>
        <w:pStyle w:val="Body"/>
      </w:pPr>
      <w:r>
        <w:t xml:space="preserve">Private company boards range from founder-led boards to sponsor-controlled boards, and many grow up without a full governance framework. This checklist helps a chair, board secretary or general counsel confirm that the essentials are in place and documented. It is meant for an annual review and for any change in ownership, financing or board membership.</w:t>
      </w:r>
    </w:p>
    <w:p>
      <w:pPr>
        <w:pStyle w:val="Heading2"/>
      </w:pPr>
      <w:r>
        <w:t xml:space="preserve">How to use this document</w:t>
      </w:r>
    </w:p>
    <w:p>
      <w:pPr>
        <w:pStyle w:val="Body"/>
        <w:numPr>
          <w:ilvl w:val="0"/>
          <w:numId w:val="2"/>
        </w:numPr>
      </w:pPr>
      <w:r>
        <w:t xml:space="preserve">Work through each section and mark items that are in place.</w:t>
      </w:r>
    </w:p>
    <w:p>
      <w:pPr>
        <w:pStyle w:val="Body"/>
        <w:numPr>
          <w:ilvl w:val="0"/>
          <w:numId w:val="2"/>
        </w:numPr>
      </w:pPr>
      <w:r>
        <w:t xml:space="preserve">For any item not in place, record an owner and a target date.</w:t>
      </w:r>
    </w:p>
    <w:p>
      <w:pPr>
        <w:pStyle w:val="Body"/>
        <w:numPr>
          <w:ilvl w:val="0"/>
          <w:numId w:val="2"/>
        </w:numPr>
      </w:pPr>
      <w:r>
        <w:t xml:space="preserve">Keep the completed checklist with the board's records and revisit it each year.</w:t>
      </w:r>
    </w:p>
    <w:p>
      <w:pPr>
        <w:pStyle w:val="Heading1"/>
      </w:pPr>
      <w:r>
        <w:t xml:space="preserve">1. Board composition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
        <w:gridCol w:w="4600"/>
        <w:gridCol w:w="2700"/>
        <w:gridCol w:w="1500"/>
      </w:tblGrid>
      <w:tr>
        <w:trPr>
          <w:cantSplit/>
          <w:tblHeader/>
        </w:trPr>
        <w:tc>
          <w:tcPr>
            <w:tcW w:type="dxa" w:w="56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w:t>
            </w:r>
          </w:p>
        </w:tc>
        <w:tc>
          <w:tcPr>
            <w:tcW w:type="dxa" w:w="46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Item</w:t>
            </w:r>
          </w:p>
        </w:tc>
        <w:tc>
          <w:tcPr>
            <w:tcW w:type="dxa" w:w="27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Status</w:t>
            </w:r>
          </w:p>
        </w:tc>
        <w:tc>
          <w:tcPr>
            <w:tcW w:type="dxa" w:w="15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Owner / date</w:t>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1</w:t>
            </w:r>
          </w:p>
        </w:tc>
        <w:tc>
          <w:tcPr>
            <w:tcW w:type="dxa" w:w="4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The size of the board and how seats are filled are set out in the governing documents and any investor agreements.</w:t>
            </w:r>
          </w:p>
        </w:tc>
        <w:tc>
          <w:tcPr>
            <w:tcW w:type="dxa" w:w="27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In place   ☐ Action</w:t>
            </w:r>
          </w:p>
        </w:tc>
        <w:tc>
          <w:tcPr>
            <w:tcW w:type="dxa" w:w="15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2</w:t>
            </w:r>
          </w:p>
        </w:tc>
        <w:tc>
          <w:tcPr>
            <w:tcW w:type="dxa" w:w="4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The board has the mix of skills the company needs for its next stage, recorded in a simple skills matrix.</w:t>
            </w:r>
          </w:p>
        </w:tc>
        <w:tc>
          <w:tcPr>
            <w:tcW w:type="dxa" w:w="27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In place   ☐ Action</w:t>
            </w:r>
          </w:p>
        </w:tc>
        <w:tc>
          <w:tcPr>
            <w:tcW w:type="dxa" w:w="15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3</w:t>
            </w:r>
          </w:p>
        </w:tc>
        <w:tc>
          <w:tcPr>
            <w:tcW w:type="dxa" w:w="4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Independent or outside directors are in place where investors, lenders or the company's plans call for them.</w:t>
            </w:r>
          </w:p>
        </w:tc>
        <w:tc>
          <w:tcPr>
            <w:tcW w:type="dxa" w:w="27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In place   ☐ Action</w:t>
            </w:r>
          </w:p>
        </w:tc>
        <w:tc>
          <w:tcPr>
            <w:tcW w:type="dxa" w:w="15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4</w:t>
            </w:r>
          </w:p>
        </w:tc>
        <w:tc>
          <w:tcPr>
            <w:tcW w:type="dxa" w:w="4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Terms, removal rights and vacancy procedures are clear.</w:t>
            </w:r>
          </w:p>
        </w:tc>
        <w:tc>
          <w:tcPr>
            <w:tcW w:type="dxa" w:w="27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In place   ☐ Action</w:t>
            </w:r>
          </w:p>
        </w:tc>
        <w:tc>
          <w:tcPr>
            <w:tcW w:type="dxa" w:w="15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bl>
    <w:p>
      <w:pPr>
        <w:pStyle w:val="Body"/>
        <w:spacing w:after="60"/>
      </w:pPr>
    </w:p>
    <w:p>
      <w:pPr>
        <w:pStyle w:val="Heading1"/>
      </w:pPr>
      <w:r>
        <w:t xml:space="preserve">2. Committees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
        <w:gridCol w:w="4600"/>
        <w:gridCol w:w="2700"/>
        <w:gridCol w:w="1500"/>
      </w:tblGrid>
      <w:tr>
        <w:trPr>
          <w:cantSplit/>
          <w:tblHeader/>
        </w:trPr>
        <w:tc>
          <w:tcPr>
            <w:tcW w:type="dxa" w:w="56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w:t>
            </w:r>
          </w:p>
        </w:tc>
        <w:tc>
          <w:tcPr>
            <w:tcW w:type="dxa" w:w="46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Item</w:t>
            </w:r>
          </w:p>
        </w:tc>
        <w:tc>
          <w:tcPr>
            <w:tcW w:type="dxa" w:w="27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Status</w:t>
            </w:r>
          </w:p>
        </w:tc>
        <w:tc>
          <w:tcPr>
            <w:tcW w:type="dxa" w:w="15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Owner / date</w:t>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1</w:t>
            </w:r>
          </w:p>
        </w:tc>
        <w:tc>
          <w:tcPr>
            <w:tcW w:type="dxa" w:w="4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The board has decided which committees it needs (for example audit, compensation, nominating) and has written charters for them.</w:t>
            </w:r>
          </w:p>
        </w:tc>
        <w:tc>
          <w:tcPr>
            <w:tcW w:type="dxa" w:w="27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In place   ☐ Action</w:t>
            </w:r>
          </w:p>
        </w:tc>
        <w:tc>
          <w:tcPr>
            <w:tcW w:type="dxa" w:w="15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2</w:t>
            </w:r>
          </w:p>
        </w:tc>
        <w:tc>
          <w:tcPr>
            <w:tcW w:type="dxa" w:w="4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Committee membership and chairs are recorded, and committees report to the full board.</w:t>
            </w:r>
          </w:p>
        </w:tc>
        <w:tc>
          <w:tcPr>
            <w:tcW w:type="dxa" w:w="27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In place   ☐ Action</w:t>
            </w:r>
          </w:p>
        </w:tc>
        <w:tc>
          <w:tcPr>
            <w:tcW w:type="dxa" w:w="15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3</w:t>
            </w:r>
          </w:p>
        </w:tc>
        <w:tc>
          <w:tcPr>
            <w:tcW w:type="dxa" w:w="4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Matters reserved for the full board are listed.</w:t>
            </w:r>
          </w:p>
        </w:tc>
        <w:tc>
          <w:tcPr>
            <w:tcW w:type="dxa" w:w="27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In place   ☐ Action</w:t>
            </w:r>
          </w:p>
        </w:tc>
        <w:tc>
          <w:tcPr>
            <w:tcW w:type="dxa" w:w="15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bl>
    <w:p>
      <w:pPr>
        <w:pStyle w:val="Body"/>
        <w:spacing w:after="60"/>
      </w:pPr>
    </w:p>
    <w:p>
      <w:pPr>
        <w:pStyle w:val="Heading1"/>
      </w:pPr>
      <w:r>
        <w:t xml:space="preserve">3. Information rights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
        <w:gridCol w:w="4600"/>
        <w:gridCol w:w="2700"/>
        <w:gridCol w:w="1500"/>
      </w:tblGrid>
      <w:tr>
        <w:trPr>
          <w:cantSplit/>
          <w:tblHeader/>
        </w:trPr>
        <w:tc>
          <w:tcPr>
            <w:tcW w:type="dxa" w:w="56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w:t>
            </w:r>
          </w:p>
        </w:tc>
        <w:tc>
          <w:tcPr>
            <w:tcW w:type="dxa" w:w="46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Item</w:t>
            </w:r>
          </w:p>
        </w:tc>
        <w:tc>
          <w:tcPr>
            <w:tcW w:type="dxa" w:w="27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Status</w:t>
            </w:r>
          </w:p>
        </w:tc>
        <w:tc>
          <w:tcPr>
            <w:tcW w:type="dxa" w:w="15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Owner / date</w:t>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1</w:t>
            </w:r>
          </w:p>
        </w:tc>
        <w:tc>
          <w:tcPr>
            <w:tcW w:type="dxa" w:w="4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Investor and director information rights are listed in one place, with what is provided and when.</w:t>
            </w:r>
          </w:p>
        </w:tc>
        <w:tc>
          <w:tcPr>
            <w:tcW w:type="dxa" w:w="27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In place   ☐ Action</w:t>
            </w:r>
          </w:p>
        </w:tc>
        <w:tc>
          <w:tcPr>
            <w:tcW w:type="dxa" w:w="15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2</w:t>
            </w:r>
          </w:p>
        </w:tc>
        <w:tc>
          <w:tcPr>
            <w:tcW w:type="dxa" w:w="4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Board materials are circulated far enough ahead of meetings to be read.</w:t>
            </w:r>
          </w:p>
        </w:tc>
        <w:tc>
          <w:tcPr>
            <w:tcW w:type="dxa" w:w="27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In place   ☐ Action</w:t>
            </w:r>
          </w:p>
        </w:tc>
        <w:tc>
          <w:tcPr>
            <w:tcW w:type="dxa" w:w="15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3</w:t>
            </w:r>
          </w:p>
        </w:tc>
        <w:tc>
          <w:tcPr>
            <w:tcW w:type="dxa" w:w="4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Monthly or quarterly financial reporting to the board has an agreed format.</w:t>
            </w:r>
          </w:p>
        </w:tc>
        <w:tc>
          <w:tcPr>
            <w:tcW w:type="dxa" w:w="27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In place   ☐ Action</w:t>
            </w:r>
          </w:p>
        </w:tc>
        <w:tc>
          <w:tcPr>
            <w:tcW w:type="dxa" w:w="15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4</w:t>
            </w:r>
          </w:p>
        </w:tc>
        <w:tc>
          <w:tcPr>
            <w:tcW w:type="dxa" w:w="4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Confidentiality expectations for board materials are documented.</w:t>
            </w:r>
          </w:p>
        </w:tc>
        <w:tc>
          <w:tcPr>
            <w:tcW w:type="dxa" w:w="27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In place   ☐ Action</w:t>
            </w:r>
          </w:p>
        </w:tc>
        <w:tc>
          <w:tcPr>
            <w:tcW w:type="dxa" w:w="15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bl>
    <w:p>
      <w:pPr>
        <w:pStyle w:val="Body"/>
        <w:spacing w:after="60"/>
      </w:pPr>
    </w:p>
    <w:p>
      <w:pPr>
        <w:pStyle w:val="Heading1"/>
      </w:pPr>
      <w:r>
        <w:t xml:space="preserve">4. Meeting rhythm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
        <w:gridCol w:w="4600"/>
        <w:gridCol w:w="2700"/>
        <w:gridCol w:w="1500"/>
      </w:tblGrid>
      <w:tr>
        <w:trPr>
          <w:cantSplit/>
          <w:tblHeader/>
        </w:trPr>
        <w:tc>
          <w:tcPr>
            <w:tcW w:type="dxa" w:w="56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w:t>
            </w:r>
          </w:p>
        </w:tc>
        <w:tc>
          <w:tcPr>
            <w:tcW w:type="dxa" w:w="46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Item</w:t>
            </w:r>
          </w:p>
        </w:tc>
        <w:tc>
          <w:tcPr>
            <w:tcW w:type="dxa" w:w="27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Status</w:t>
            </w:r>
          </w:p>
        </w:tc>
        <w:tc>
          <w:tcPr>
            <w:tcW w:type="dxa" w:w="15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Owner / date</w:t>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1</w:t>
            </w:r>
          </w:p>
        </w:tc>
        <w:tc>
          <w:tcPr>
            <w:tcW w:type="dxa" w:w="4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A schedule of regular meetings is set for the year, with standing agenda items.</w:t>
            </w:r>
          </w:p>
        </w:tc>
        <w:tc>
          <w:tcPr>
            <w:tcW w:type="dxa" w:w="27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In place   ☐ Action</w:t>
            </w:r>
          </w:p>
        </w:tc>
        <w:tc>
          <w:tcPr>
            <w:tcW w:type="dxa" w:w="15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2</w:t>
            </w:r>
          </w:p>
        </w:tc>
        <w:tc>
          <w:tcPr>
            <w:tcW w:type="dxa" w:w="4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Executive sessions without management are held regularly.</w:t>
            </w:r>
          </w:p>
        </w:tc>
        <w:tc>
          <w:tcPr>
            <w:tcW w:type="dxa" w:w="27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In place   ☐ Action</w:t>
            </w:r>
          </w:p>
        </w:tc>
        <w:tc>
          <w:tcPr>
            <w:tcW w:type="dxa" w:w="15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3</w:t>
            </w:r>
          </w:p>
        </w:tc>
        <w:tc>
          <w:tcPr>
            <w:tcW w:type="dxa" w:w="4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Annual items (budget, audit, compensation, strategy, board evaluation) are assigned to specific meetings.</w:t>
            </w:r>
          </w:p>
        </w:tc>
        <w:tc>
          <w:tcPr>
            <w:tcW w:type="dxa" w:w="27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In place   ☐ Action</w:t>
            </w:r>
          </w:p>
        </w:tc>
        <w:tc>
          <w:tcPr>
            <w:tcW w:type="dxa" w:w="15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bl>
    <w:p>
      <w:pPr>
        <w:pStyle w:val="Body"/>
        <w:spacing w:after="60"/>
      </w:pPr>
    </w:p>
    <w:p>
      <w:pPr>
        <w:pStyle w:val="Heading1"/>
      </w:pPr>
      <w:r>
        <w:t xml:space="preserve">5. Conflicts of interest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
        <w:gridCol w:w="4600"/>
        <w:gridCol w:w="2700"/>
        <w:gridCol w:w="1500"/>
      </w:tblGrid>
      <w:tr>
        <w:trPr>
          <w:cantSplit/>
          <w:tblHeader/>
        </w:trPr>
        <w:tc>
          <w:tcPr>
            <w:tcW w:type="dxa" w:w="56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w:t>
            </w:r>
          </w:p>
        </w:tc>
        <w:tc>
          <w:tcPr>
            <w:tcW w:type="dxa" w:w="46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Item</w:t>
            </w:r>
          </w:p>
        </w:tc>
        <w:tc>
          <w:tcPr>
            <w:tcW w:type="dxa" w:w="27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Status</w:t>
            </w:r>
          </w:p>
        </w:tc>
        <w:tc>
          <w:tcPr>
            <w:tcW w:type="dxa" w:w="15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Owner / date</w:t>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1</w:t>
            </w:r>
          </w:p>
        </w:tc>
        <w:tc>
          <w:tcPr>
            <w:tcW w:type="dxa" w:w="4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A conflicts policy covers directors, observers and officers.</w:t>
            </w:r>
          </w:p>
        </w:tc>
        <w:tc>
          <w:tcPr>
            <w:tcW w:type="dxa" w:w="27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In place   ☐ Action</w:t>
            </w:r>
          </w:p>
        </w:tc>
        <w:tc>
          <w:tcPr>
            <w:tcW w:type="dxa" w:w="15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2</w:t>
            </w:r>
          </w:p>
        </w:tc>
        <w:tc>
          <w:tcPr>
            <w:tcW w:type="dxa" w:w="4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Interests are declared at the start of each meeting and recorded.</w:t>
            </w:r>
          </w:p>
        </w:tc>
        <w:tc>
          <w:tcPr>
            <w:tcW w:type="dxa" w:w="27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In place   ☐ Action</w:t>
            </w:r>
          </w:p>
        </w:tc>
        <w:tc>
          <w:tcPr>
            <w:tcW w:type="dxa" w:w="15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3</w:t>
            </w:r>
          </w:p>
        </w:tc>
        <w:tc>
          <w:tcPr>
            <w:tcW w:type="dxa" w:w="4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Related-party transactions require approval by disinterested directors.</w:t>
            </w:r>
          </w:p>
        </w:tc>
        <w:tc>
          <w:tcPr>
            <w:tcW w:type="dxa" w:w="27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In place   ☐ Action</w:t>
            </w:r>
          </w:p>
        </w:tc>
        <w:tc>
          <w:tcPr>
            <w:tcW w:type="dxa" w:w="15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bl>
    <w:p>
      <w:pPr>
        <w:pStyle w:val="Body"/>
        <w:spacing w:after="60"/>
      </w:pPr>
    </w:p>
    <w:p>
      <w:pPr>
        <w:pStyle w:val="Heading1"/>
      </w:pPr>
      <w:r>
        <w:t xml:space="preserve">6. D&amp;O insurance check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
        <w:gridCol w:w="4600"/>
        <w:gridCol w:w="2700"/>
        <w:gridCol w:w="1500"/>
      </w:tblGrid>
      <w:tr>
        <w:trPr>
          <w:cantSplit/>
          <w:tblHeader/>
        </w:trPr>
        <w:tc>
          <w:tcPr>
            <w:tcW w:type="dxa" w:w="56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w:t>
            </w:r>
          </w:p>
        </w:tc>
        <w:tc>
          <w:tcPr>
            <w:tcW w:type="dxa" w:w="46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Item</w:t>
            </w:r>
          </w:p>
        </w:tc>
        <w:tc>
          <w:tcPr>
            <w:tcW w:type="dxa" w:w="27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Status</w:t>
            </w:r>
          </w:p>
        </w:tc>
        <w:tc>
          <w:tcPr>
            <w:tcW w:type="dxa" w:w="15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Owner / date</w:t>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1</w:t>
            </w:r>
          </w:p>
        </w:tc>
        <w:tc>
          <w:tcPr>
            <w:tcW w:type="dxa" w:w="4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A D&amp;O policy is in place, and limits have been reviewed against the company's stage and risks.</w:t>
            </w:r>
          </w:p>
        </w:tc>
        <w:tc>
          <w:tcPr>
            <w:tcW w:type="dxa" w:w="27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In place   ☐ Action</w:t>
            </w:r>
          </w:p>
        </w:tc>
        <w:tc>
          <w:tcPr>
            <w:tcW w:type="dxa" w:w="15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2</w:t>
            </w:r>
          </w:p>
        </w:tc>
        <w:tc>
          <w:tcPr>
            <w:tcW w:type="dxa" w:w="4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Indemnification agreements are signed for each director.</w:t>
            </w:r>
          </w:p>
        </w:tc>
        <w:tc>
          <w:tcPr>
            <w:tcW w:type="dxa" w:w="27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In place   ☐ Action</w:t>
            </w:r>
          </w:p>
        </w:tc>
        <w:tc>
          <w:tcPr>
            <w:tcW w:type="dxa" w:w="15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3</w:t>
            </w:r>
          </w:p>
        </w:tc>
        <w:tc>
          <w:tcPr>
            <w:tcW w:type="dxa" w:w="4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Coverage for a change of control or financing has been checked with the broker and counsel.</w:t>
            </w:r>
          </w:p>
        </w:tc>
        <w:tc>
          <w:tcPr>
            <w:tcW w:type="dxa" w:w="27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In place   ☐ Action</w:t>
            </w:r>
          </w:p>
        </w:tc>
        <w:tc>
          <w:tcPr>
            <w:tcW w:type="dxa" w:w="15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bl>
    <w:p>
      <w:pPr>
        <w:pStyle w:val="Body"/>
        <w:spacing w:after="60"/>
      </w:pPr>
    </w:p>
    <w:p>
      <w:pPr>
        <w:pStyle w:val="Heading1"/>
      </w:pPr>
      <w:r>
        <w:t xml:space="preserve">7. Observer protocols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
        <w:gridCol w:w="4600"/>
        <w:gridCol w:w="2700"/>
        <w:gridCol w:w="1500"/>
      </w:tblGrid>
      <w:tr>
        <w:trPr>
          <w:cantSplit/>
          <w:tblHeader/>
        </w:trPr>
        <w:tc>
          <w:tcPr>
            <w:tcW w:type="dxa" w:w="56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w:t>
            </w:r>
          </w:p>
        </w:tc>
        <w:tc>
          <w:tcPr>
            <w:tcW w:type="dxa" w:w="46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Item</w:t>
            </w:r>
          </w:p>
        </w:tc>
        <w:tc>
          <w:tcPr>
            <w:tcW w:type="dxa" w:w="27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Status</w:t>
            </w:r>
          </w:p>
        </w:tc>
        <w:tc>
          <w:tcPr>
            <w:tcW w:type="dxa" w:w="15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Owner / date</w:t>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1</w:t>
            </w:r>
          </w:p>
        </w:tc>
        <w:tc>
          <w:tcPr>
            <w:tcW w:type="dxa" w:w="4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Each observer's rights come from a written agreement.</w:t>
            </w:r>
          </w:p>
        </w:tc>
        <w:tc>
          <w:tcPr>
            <w:tcW w:type="dxa" w:w="27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In place   ☐ Action</w:t>
            </w:r>
          </w:p>
        </w:tc>
        <w:tc>
          <w:tcPr>
            <w:tcW w:type="dxa" w:w="15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2</w:t>
            </w:r>
          </w:p>
        </w:tc>
        <w:tc>
          <w:tcPr>
            <w:tcW w:type="dxa" w:w="4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Observers sign confidentiality undertakings and know which sessions they may attend.</w:t>
            </w:r>
          </w:p>
        </w:tc>
        <w:tc>
          <w:tcPr>
            <w:tcW w:type="dxa" w:w="27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In place   ☐ Action</w:t>
            </w:r>
          </w:p>
        </w:tc>
        <w:tc>
          <w:tcPr>
            <w:tcW w:type="dxa" w:w="15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3</w:t>
            </w:r>
          </w:p>
        </w:tc>
        <w:tc>
          <w:tcPr>
            <w:tcW w:type="dxa" w:w="4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The board can exclude observers for privileged or conflicted matters.</w:t>
            </w:r>
          </w:p>
        </w:tc>
        <w:tc>
          <w:tcPr>
            <w:tcW w:type="dxa" w:w="27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In place   ☐ Action</w:t>
            </w:r>
          </w:p>
        </w:tc>
        <w:tc>
          <w:tcPr>
            <w:tcW w:type="dxa" w:w="15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bl>
    <w:p>
      <w:pPr>
        <w:pStyle w:val="Body"/>
        <w:spacing w:after="60"/>
      </w:pPr>
    </w:p>
    <w:p>
      <w:pPr>
        <w:pStyle w:val="Heading1"/>
      </w:pPr>
      <w:r>
        <w:t xml:space="preserve">8. Minutes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
        <w:gridCol w:w="4600"/>
        <w:gridCol w:w="2700"/>
        <w:gridCol w:w="1500"/>
      </w:tblGrid>
      <w:tr>
        <w:trPr>
          <w:cantSplit/>
          <w:tblHeader/>
        </w:trPr>
        <w:tc>
          <w:tcPr>
            <w:tcW w:type="dxa" w:w="56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w:t>
            </w:r>
          </w:p>
        </w:tc>
        <w:tc>
          <w:tcPr>
            <w:tcW w:type="dxa" w:w="46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Item</w:t>
            </w:r>
          </w:p>
        </w:tc>
        <w:tc>
          <w:tcPr>
            <w:tcW w:type="dxa" w:w="27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Status</w:t>
            </w:r>
          </w:p>
        </w:tc>
        <w:tc>
          <w:tcPr>
            <w:tcW w:type="dxa" w:w="15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Owner / date</w:t>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1</w:t>
            </w:r>
          </w:p>
        </w:tc>
        <w:tc>
          <w:tcPr>
            <w:tcW w:type="dxa" w:w="4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Minutes record attendance, conflicts declared, decisions and the main points of discussion.</w:t>
            </w:r>
          </w:p>
        </w:tc>
        <w:tc>
          <w:tcPr>
            <w:tcW w:type="dxa" w:w="27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In place   ☐ Action</w:t>
            </w:r>
          </w:p>
        </w:tc>
        <w:tc>
          <w:tcPr>
            <w:tcW w:type="dxa" w:w="15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2</w:t>
            </w:r>
          </w:p>
        </w:tc>
        <w:tc>
          <w:tcPr>
            <w:tcW w:type="dxa" w:w="4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Draft minutes are circulated promptly and approved at the next meeting.</w:t>
            </w:r>
          </w:p>
        </w:tc>
        <w:tc>
          <w:tcPr>
            <w:tcW w:type="dxa" w:w="27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In place   ☐ Action</w:t>
            </w:r>
          </w:p>
        </w:tc>
        <w:tc>
          <w:tcPr>
            <w:tcW w:type="dxa" w:w="15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5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jc w:val="center"/>
            </w:pPr>
            <w:r>
              <w:rPr>
                <w:rFonts w:ascii="Calibri" w:cs="Calibri" w:eastAsia="Calibri" w:hAnsi="Calibri"/>
                <w:b w:val="false"/>
                <w:bCs w:val="false"/>
                <w:sz w:val="20"/>
                <w:szCs w:val="20"/>
              </w:rPr>
              <w:t xml:space="preserve">3</w:t>
            </w:r>
          </w:p>
        </w:tc>
        <w:tc>
          <w:tcPr>
            <w:tcW w:type="dxa" w:w="4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Written consents and approved minutes are kept in a single minute book.</w:t>
            </w:r>
          </w:p>
        </w:tc>
        <w:tc>
          <w:tcPr>
            <w:tcW w:type="dxa" w:w="27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In place   ☐ Action</w:t>
            </w:r>
          </w:p>
        </w:tc>
        <w:tc>
          <w:tcPr>
            <w:tcW w:type="dxa" w:w="15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bl>
    <w:p>
      <w:pPr>
        <w:pStyle w:val="Body"/>
        <w:spacing w:after="60"/>
      </w:pPr>
    </w:p>
    <w:p>
      <w:pPr>
        <w:pStyle w:val="Heading2"/>
      </w:pPr>
      <w:r>
        <w:t xml:space="preserve">Notes</w:t>
      </w:r>
    </w:p>
    <w:p>
      <w:pPr>
        <w:pStyle w:val="Fine"/>
      </w:pPr>
      <w:r>
        <w:t xml:space="preserve">Adapt this template to your organization, jurisdiction and governing documents. It is a general resource, not legal advice. Review with counsel before adoption.</w:t>
      </w:r>
    </w:p>
    <w:sectPr>
      <w:footerReference w:type="default" r:id="rId7"/>
      <w:pgSz w:w="12240" w:h="15840" w:orient="portrait"/>
      <w:pgMar w:top="1440" w:right="1440" w:bottom="1440" w:left="1440" w:header="708"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Text"/>
      <w:pBdr>
        <w:top w:val="single" w:color="D9D2C5" w:sz="4" w:space="6"/>
      </w:pBdr>
      <w:tabs>
        <w:tab w:val="right" w:pos="9360"/>
      </w:tabs>
    </w:pPr>
    <w:r>
      <w:t xml:space="preserve">Prepared by Jacob James Kahn · jacobjameskahn.net · Review with counsel before adoption.</w:t>
    </w:r>
    <w: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D2738"/>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80"/>
    </w:pPr>
    <w:rPr>
      <w:rFonts w:ascii="Georgia" w:cs="Georgia" w:eastAsia="Georgia" w:hAnsi="Georgia"/>
      <w:b/>
      <w:bCs/>
      <w:color w:val="24324A"/>
      <w:sz w:val="44"/>
      <w:szCs w:val="44"/>
    </w:rPr>
  </w:style>
  <w:style w:type="paragraph" w:styleId="Heading1">
    <w:name w:val="Heading 1"/>
    <w:basedOn w:val="Normal"/>
    <w:next w:val="Normal"/>
    <w:qFormat/>
    <w:pPr>
      <w:keepNext/>
      <w:spacing w:after="120" w:before="320"/>
      <w:outlineLvl w:val="0"/>
    </w:pPr>
    <w:rPr>
      <w:rFonts w:ascii="Georgia" w:cs="Georgia" w:eastAsia="Georgia" w:hAnsi="Georgia"/>
      <w:b/>
      <w:bCs/>
      <w:color w:val="24324A"/>
      <w:sz w:val="28"/>
      <w:szCs w:val="28"/>
    </w:rPr>
  </w:style>
  <w:style w:type="paragraph" w:styleId="Heading2">
    <w:name w:val="Heading 2"/>
    <w:basedOn w:val="Normal"/>
    <w:next w:val="Normal"/>
    <w:qFormat/>
    <w:pPr>
      <w:keepNext/>
      <w:spacing w:after="100" w:before="240"/>
      <w:outlineLvl w:val="1"/>
    </w:pPr>
    <w:rPr>
      <w:rFonts w:ascii="Georgia" w:cs="Georgia" w:eastAsia="Georgia" w:hAnsi="Georgia"/>
      <w:b/>
      <w:bCs/>
      <w:color w:val="24324A"/>
      <w:sz w:val="24"/>
      <w:szCs w:val="24"/>
    </w:rPr>
  </w:style>
  <w:style w:type="paragraph" w:styleId="Heading3">
    <w:name w:val="Heading 3"/>
    <w:basedOn w:val="Normal"/>
    <w:next w:val="Normal"/>
    <w:qFormat/>
    <w:pPr>
      <w:keepNext/>
      <w:spacing w:after="60" w:before="160"/>
      <w:outlineLvl w:val="2"/>
    </w:pPr>
    <w:rPr>
      <w:rFonts w:ascii="Calibri" w:cs="Calibri" w:eastAsia="Calibri" w:hAnsi="Calibri"/>
      <w:b/>
      <w:bCs/>
      <w:color w:val="7D5309"/>
      <w:sz w:val="22"/>
      <w:szCs w:val="22"/>
    </w:rPr>
  </w:style>
  <w:style w:type="paragraph" w:styleId="Kicker">
    <w:name w:val="Kicker"/>
    <w:basedOn w:val="Normal"/>
    <w:pPr>
      <w:spacing w:after="120"/>
    </w:pPr>
    <w:rPr>
      <w:rFonts w:ascii="Calibri" w:cs="Calibri" w:eastAsia="Calibri" w:hAnsi="Calibri"/>
      <w:b/>
      <w:bCs/>
      <w:color w:val="7D5309"/>
      <w:spacing w:val="20"/>
      <w:sz w:val="17"/>
      <w:szCs w:val="17"/>
    </w:rPr>
  </w:style>
  <w:style w:type="paragraph" w:styleId="Meta">
    <w:name w:val="Meta"/>
    <w:basedOn w:val="Normal"/>
    <w:pPr>
      <w:spacing w:after="240"/>
    </w:pPr>
    <w:rPr>
      <w:rFonts w:ascii="Calibri" w:cs="Calibri" w:eastAsia="Calibri" w:hAnsi="Calibri"/>
      <w:color w:val="5D6676"/>
      <w:sz w:val="18"/>
      <w:szCs w:val="18"/>
    </w:rPr>
  </w:style>
  <w:style w:type="paragraph" w:styleId="Body">
    <w:name w:val="Body"/>
    <w:basedOn w:val="Normal"/>
    <w:pPr>
      <w:spacing w:after="120" w:line="288"/>
    </w:pPr>
    <w:rPr>
      <w:rFonts w:ascii="Calibri" w:cs="Calibri" w:eastAsia="Calibri" w:hAnsi="Calibri"/>
      <w:sz w:val="21"/>
      <w:szCs w:val="21"/>
    </w:rPr>
  </w:style>
  <w:style w:type="paragraph" w:styleId="Cell">
    <w:name w:val="Cell"/>
    <w:basedOn w:val="Normal"/>
    <w:pPr>
      <w:spacing w:after="0" w:line="264"/>
    </w:pPr>
    <w:rPr>
      <w:rFonts w:ascii="Calibri" w:cs="Calibri" w:eastAsia="Calibri" w:hAnsi="Calibri"/>
      <w:sz w:val="20"/>
      <w:szCs w:val="20"/>
    </w:rPr>
  </w:style>
  <w:style w:type="paragraph" w:styleId="Fine">
    <w:name w:val="Fine"/>
    <w:basedOn w:val="Normal"/>
    <w:pPr>
      <w:spacing w:after="80"/>
    </w:pPr>
    <w:rPr>
      <w:rFonts w:ascii="Calibri" w:cs="Calibri" w:eastAsia="Calibri" w:hAnsi="Calibri"/>
      <w:i/>
      <w:iCs/>
      <w:color w:val="5D6676"/>
      <w:sz w:val="18"/>
      <w:szCs w:val="18"/>
    </w:rPr>
  </w:style>
  <w:style w:type="paragraph" w:styleId="FooterText">
    <w:name w:val="Footer Text"/>
    <w:basedOn w:val="Normal"/>
    <w:rPr>
      <w:rFonts w:ascii="Calibri" w:cs="Calibri" w:eastAsia="Calibri" w:hAnsi="Calibri"/>
      <w:color w:val="5D6676"/>
      <w:sz w:val="16"/>
      <w:szCs w:val="1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Company Board Essentials Checklist</dc:title>
  <dc:subject>Governance Toolkit</dc:subject>
  <dc:creator>Jacob James Kahn</dc:creator>
  <cp:keywords>board governance, private capital and private company governance</cp:keywords>
  <dc:description>A checklist for the basics of an effective private company board: composition, committees, information rights, meetings, conflicts, D&amp;O cover, observers and minutes.</dc:description>
  <cp:lastModifiedBy>Jacob James Kahn</cp:lastModifiedBy>
  <cp:revision>1</cp:revision>
  <dcterms:created xsi:type="dcterms:W3CDTF">2026-10-07T23:02:42.513Z</dcterms:created>
  <dcterms:modified xsi:type="dcterms:W3CDTF">2026-10-07T23:02:42.513Z</dcterms:modified>
</cp:coreProperties>
</file>

<file path=docProps/custom.xml><?xml version="1.0" encoding="utf-8"?>
<Properties xmlns="http://schemas.openxmlformats.org/officeDocument/2006/custom-properties" xmlns:vt="http://schemas.openxmlformats.org/officeDocument/2006/docPropsVTypes"/>
</file>