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GOVERNANCE TOOLKIT · BOARD ESSENTIALS</w:t>
      </w:r>
    </w:p>
    <w:p>
      <w:pPr>
        <w:pStyle w:val="Title"/>
      </w:pPr>
      <w:r>
        <w:t xml:space="preserve">Nominating and Governance Committee Charter</w:t>
      </w:r>
    </w:p>
    <w:p>
      <w:pPr>
        <w:pStyle w:val="Meta"/>
      </w:pPr>
      <w:r>
        <w:t xml:space="preserve">Version 1.1 · Last updated October 7, 2026 · Prepared by Jacob James Kahn</w:t>
      </w:r>
    </w:p>
    <w:p>
      <w:pPr>
        <w:pStyle w:val="Body"/>
      </w:pPr>
      <w:r>
        <w:t xml:space="preserve">A ready-to-adapt charter for board composition, director search, evaluations, succession and governance policies. Text in [brackets] is to be completed or chosen by the company.</w:t>
      </w:r>
    </w:p>
    <w:p>
      <w:pPr>
        <w:pStyle w:val="Heading2"/>
      </w:pPr>
      <w:r>
        <w:t xml:space="preserve">How to use this document</w:t>
      </w:r>
    </w:p>
    <w:p>
      <w:pPr>
        <w:pStyle w:val="Body"/>
        <w:numPr>
          <w:ilvl w:val="0"/>
          <w:numId w:val="2"/>
        </w:numPr>
      </w:pPr>
      <w:r>
        <w:t xml:space="preserve">Replace the bracketed text with your company's details.</w:t>
      </w:r>
    </w:p>
    <w:p>
      <w:pPr>
        <w:pStyle w:val="Body"/>
        <w:numPr>
          <w:ilvl w:val="0"/>
          <w:numId w:val="2"/>
        </w:numPr>
      </w:pPr>
      <w:r>
        <w:t xml:space="preserve">Compare the draft with your governing documents and any listing or regulatory standards that apply.</w:t>
      </w:r>
    </w:p>
    <w:p>
      <w:pPr>
        <w:pStyle w:val="Body"/>
        <w:numPr>
          <w:ilvl w:val="0"/>
          <w:numId w:val="2"/>
        </w:numPr>
      </w:pPr>
      <w:r>
        <w:t xml:space="preserve">Have the board approve the charter, then review it each year and record changes in the minutes.</w:t>
      </w:r>
    </w:p>
    <w:p>
      <w:pPr>
        <w:pStyle w:val="Heading1"/>
      </w:pPr>
      <w:r>
        <w:t xml:space="preserve">1. Purpose</w:t>
      </w:r>
    </w:p>
    <w:p>
      <w:pPr>
        <w:pStyle w:val="Body"/>
      </w:pPr>
      <w:r>
        <w:t xml:space="preserve">The Nominating and Governance Committee helps the Board find and recommend qualified directors, shape board and committee composition, lead board evaluation and maintain sound governance practices.</w:t>
      </w:r>
    </w:p>
    <w:p>
      <w:pPr>
        <w:pStyle w:val="Heading1"/>
      </w:pPr>
      <w:r>
        <w:t xml:space="preserve">2. Composition</w:t>
      </w:r>
    </w:p>
    <w:p>
      <w:pPr>
        <w:pStyle w:val="Body"/>
        <w:numPr>
          <w:ilvl w:val="0"/>
          <w:numId w:val="3"/>
        </w:numPr>
      </w:pPr>
      <w:r>
        <w:t xml:space="preserve">At least [three] directors, each independent under applicable standards, appointed by the Board.</w:t>
      </w:r>
    </w:p>
    <w:p>
      <w:pPr>
        <w:pStyle w:val="Heading1"/>
      </w:pPr>
      <w:r>
        <w:t xml:space="preserve">3. Responsibilities</w:t>
      </w:r>
    </w:p>
    <w:p>
      <w:pPr>
        <w:pStyle w:val="Heading3"/>
      </w:pPr>
      <w:r>
        <w:t xml:space="preserve">Board composition</w:t>
      </w:r>
    </w:p>
    <w:p>
      <w:pPr>
        <w:pStyle w:val="Body"/>
        <w:numPr>
          <w:ilvl w:val="0"/>
          <w:numId w:val="3"/>
        </w:numPr>
      </w:pPr>
      <w:r>
        <w:t xml:space="preserve">Maintain a skills matrix and identify gaps against strategy, including technology, cyber and AI oversight.</w:t>
      </w:r>
    </w:p>
    <w:p>
      <w:pPr>
        <w:pStyle w:val="Body"/>
        <w:numPr>
          <w:ilvl w:val="0"/>
          <w:numId w:val="3"/>
        </w:numPr>
      </w:pPr>
      <w:r>
        <w:t xml:space="preserve">Set criteria for director candidates and run searches, including use of search firms.</w:t>
      </w:r>
    </w:p>
    <w:p>
      <w:pPr>
        <w:pStyle w:val="Body"/>
        <w:numPr>
          <w:ilvl w:val="0"/>
          <w:numId w:val="3"/>
        </w:numPr>
      </w:pPr>
      <w:r>
        <w:t xml:space="preserve">Recommend director nominees, committee members and chairs.</w:t>
      </w:r>
    </w:p>
    <w:p>
      <w:pPr>
        <w:pStyle w:val="Heading3"/>
      </w:pPr>
      <w:r>
        <w:t xml:space="preserve">Evaluation and succession</w:t>
      </w:r>
    </w:p>
    <w:p>
      <w:pPr>
        <w:pStyle w:val="Body"/>
        <w:numPr>
          <w:ilvl w:val="0"/>
          <w:numId w:val="3"/>
        </w:numPr>
      </w:pPr>
      <w:r>
        <w:t xml:space="preserve">Lead the annual board, committee and individual director evaluation.</w:t>
      </w:r>
    </w:p>
    <w:p>
      <w:pPr>
        <w:pStyle w:val="Body"/>
        <w:numPr>
          <w:ilvl w:val="0"/>
          <w:numId w:val="3"/>
        </w:numPr>
      </w:pPr>
      <w:r>
        <w:t xml:space="preserve">Oversee CEO and board-leadership succession planning with the full Board.</w:t>
      </w:r>
    </w:p>
    <w:p>
      <w:pPr>
        <w:pStyle w:val="Heading3"/>
      </w:pPr>
      <w:r>
        <w:t xml:space="preserve">Governance</w:t>
      </w:r>
    </w:p>
    <w:p>
      <w:pPr>
        <w:pStyle w:val="Body"/>
        <w:numPr>
          <w:ilvl w:val="0"/>
          <w:numId w:val="3"/>
        </w:numPr>
      </w:pPr>
      <w:r>
        <w:t xml:space="preserve">Review corporate governance guidelines, director independence and conflicts of interest.</w:t>
      </w:r>
    </w:p>
    <w:p>
      <w:pPr>
        <w:pStyle w:val="Body"/>
        <w:numPr>
          <w:ilvl w:val="0"/>
          <w:numId w:val="3"/>
        </w:numPr>
      </w:pPr>
      <w:r>
        <w:t xml:space="preserve">Oversee director onboarding and continuing education.</w:t>
      </w:r>
    </w:p>
    <w:p>
      <w:pPr>
        <w:pStyle w:val="Body"/>
        <w:numPr>
          <w:ilvl w:val="0"/>
          <w:numId w:val="3"/>
        </w:numPr>
      </w:pPr>
      <w:r>
        <w:t xml:space="preserve">Review shareholder proposals and engagement on governance matters.</w:t>
      </w:r>
    </w:p>
    <w:p>
      <w:pPr>
        <w:pStyle w:val="Heading1"/>
      </w:pPr>
      <w:r>
        <w:t xml:space="preserve">4. Authority</w:t>
      </w:r>
    </w:p>
    <w:p>
      <w:pPr>
        <w:pStyle w:val="Body"/>
      </w:pPr>
      <w:r>
        <w:t xml:space="preserve">The Committee may retain search firms and other outside experts at the company's expense.</w:t>
      </w:r>
    </w:p>
    <w:p>
      <w:pPr>
        <w:pStyle w:val="Heading1"/>
      </w:pPr>
      <w:r>
        <w:t xml:space="preserve">5. Annual review</w:t>
      </w:r>
    </w:p>
    <w:p>
      <w:pPr>
        <w:pStyle w:val="Body"/>
      </w:pPr>
      <w:r>
        <w:t xml:space="preserve">The Committee reviews this charter and its own performance each year.</w:t>
      </w:r>
    </w:p>
    <w:p>
      <w:pPr>
        <w:pStyle w:val="Heading1"/>
      </w:pPr>
      <w:r>
        <w:t xml:space="preserve">6. Approval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Entry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by the Board of Directors on [date]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reviewed by the Committee on [date]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2"/>
      </w:pPr>
      <w:r>
        <w:t xml:space="preserve">Notes</w:t>
      </w:r>
    </w:p>
    <w:p>
      <w:pPr>
        <w:pStyle w:val="Fine"/>
      </w:pPr>
      <w:r>
        <w:t xml:space="preserve">Adapt this template to your organization, jurisdiction and governing documents. It is a general resource, not legal advice. Review with counsel before adoption.</w:t>
      </w:r>
    </w:p>
    <w:sectPr>
      <w:footerReference w:type="default" r:id="rId7"/>
      <w:pgSz w:w="12240" w:h="15840" w:orient="portrait"/>
      <w:pgMar w:top="1440" w:right="1440" w:bottom="1440" w:left="1440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D9D2C5" w:sz="4" w:space="6"/>
      </w:pBdr>
      <w:tabs>
        <w:tab w:val="right" w:pos="9360"/>
      </w:tabs>
    </w:pPr>
    <w:r>
      <w:t xml:space="preserve">Prepared by Jacob James Kahn · jacobjameskahn.net · Review with counsel before adoption.</w:t>
    </w:r>
    <w: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7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Georgia" w:cs="Georgia" w:eastAsia="Georgia" w:hAnsi="Georgia"/>
      <w:b/>
      <w:bCs/>
      <w:color w:val="24324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Georgia" w:cs="Georgia" w:eastAsia="Georgia" w:hAnsi="Georgia"/>
      <w:b/>
      <w:bCs/>
      <w:color w:val="243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eorgia" w:cs="Georgia" w:eastAsia="Georgia" w:hAnsi="Georgia"/>
      <w:b/>
      <w:bCs/>
      <w:color w:val="24324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rFonts w:ascii="Calibri" w:cs="Calibri" w:eastAsia="Calibri" w:hAnsi="Calibri"/>
      <w:b/>
      <w:bCs/>
      <w:color w:val="7D5309"/>
      <w:sz w:val="22"/>
      <w:szCs w:val="22"/>
    </w:rPr>
  </w:style>
  <w:style w:type="paragraph" w:styleId="Kicker">
    <w:name w:val="Kicker"/>
    <w:basedOn w:val="Normal"/>
    <w:pPr>
      <w:spacing w:after="120"/>
    </w:pPr>
    <w:rPr>
      <w:rFonts w:ascii="Calibri" w:cs="Calibri" w:eastAsia="Calibri" w:hAnsi="Calibri"/>
      <w:b/>
      <w:bCs/>
      <w:color w:val="7D5309"/>
      <w:spacing w:val="20"/>
      <w:sz w:val="17"/>
      <w:szCs w:val="17"/>
    </w:rPr>
  </w:style>
  <w:style w:type="paragraph" w:styleId="Meta">
    <w:name w:val="Meta"/>
    <w:basedOn w:val="Normal"/>
    <w:pPr>
      <w:spacing w:after="240"/>
    </w:pPr>
    <w:rPr>
      <w:rFonts w:ascii="Calibri" w:cs="Calibri" w:eastAsia="Calibri" w:hAnsi="Calibri"/>
      <w:color w:val="5D6676"/>
      <w:sz w:val="18"/>
      <w:szCs w:val="18"/>
    </w:rPr>
  </w:style>
  <w:style w:type="paragraph" w:styleId="Body">
    <w:name w:val="Body"/>
    <w:basedOn w:val="Normal"/>
    <w:pPr>
      <w:spacing w:after="120" w:line="288"/>
    </w:pPr>
    <w:rPr>
      <w:rFonts w:ascii="Calibri" w:cs="Calibri" w:eastAsia="Calibri" w:hAnsi="Calibri"/>
      <w:sz w:val="21"/>
      <w:szCs w:val="21"/>
    </w:rPr>
  </w:style>
  <w:style w:type="paragraph" w:styleId="Cell">
    <w:name w:val="Cell"/>
    <w:basedOn w:val="Normal"/>
    <w:pPr>
      <w:spacing w:after="0" w:line="264"/>
    </w:pPr>
    <w:rPr>
      <w:rFonts w:ascii="Calibri" w:cs="Calibri" w:eastAsia="Calibri" w:hAnsi="Calibri"/>
      <w:sz w:val="20"/>
      <w:szCs w:val="20"/>
    </w:rPr>
  </w:style>
  <w:style w:type="paragraph" w:styleId="Fine">
    <w:name w:val="Fine"/>
    <w:basedOn w:val="Normal"/>
    <w:pPr>
      <w:spacing w:after="80"/>
    </w:pPr>
    <w:rPr>
      <w:rFonts w:ascii="Calibri" w:cs="Calibri" w:eastAsia="Calibri" w:hAnsi="Calibri"/>
      <w:i/>
      <w:iCs/>
      <w:color w:val="5D6676"/>
      <w:sz w:val="18"/>
      <w:szCs w:val="18"/>
    </w:rPr>
  </w:style>
  <w:style w:type="paragraph" w:styleId="FooterText">
    <w:name w:val="Footer Text"/>
    <w:basedOn w:val="Normal"/>
    <w:rPr>
      <w:rFonts w:ascii="Calibri" w:cs="Calibri" w:eastAsia="Calibri" w:hAnsi="Calibri"/>
      <w:color w:val="5D667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Nominating and Governance Committee Charter</dc:title>
  <dc:subject>Governance Toolkit</dc:subject>
  <dc:creator>Jacob James Kahn</dc:creator>
  <cp:keywords>board governance, board essentials</cp:keywords>
  <dc:description>A ready-to-adapt charter for board composition, director search, evaluations, succession and governance policies.</dc:description>
  <cp:lastModifiedBy>Jacob James Kahn</cp:lastModifiedBy>
  <cp:revision>1</cp:revision>
  <dcterms:created xsi:type="dcterms:W3CDTF">2026-10-07T23:02:42.581Z</dcterms:created>
  <dcterms:modified xsi:type="dcterms:W3CDTF">2026-10-07T23:02:42.581Z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