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cker"/>
      </w:pPr>
      <w:r>
        <w:t xml:space="preserve">GOVERNANCE TOOLKIT · BOARD ESSENTIALS</w:t>
      </w:r>
    </w:p>
    <w:p>
      <w:pPr>
        <w:pStyle w:val="Title"/>
      </w:pPr>
      <w:r>
        <w:t xml:space="preserve">Founder's First Board Checklist</w:t>
      </w:r>
    </w:p>
    <w:p>
      <w:pPr>
        <w:pStyle w:val="Meta"/>
      </w:pPr>
      <w:r>
        <w:t xml:space="preserve">Version 1.1 · Last updated October 7, 2026 · Prepared by Jacob James Kahn</w:t>
      </w:r>
    </w:p>
    <w:p>
      <w:pPr>
        <w:pStyle w:val="Body"/>
      </w:pPr>
      <w:r>
        <w:t xml:space="preserve">What to set up as you form your first board: composition, cadence, information rights, board papers and outside directors.</w:t>
      </w:r>
    </w:p>
    <w:p>
      <w:pPr>
        <w:pStyle w:val="Heading2"/>
      </w:pPr>
      <w:r>
        <w:t xml:space="preserve">How to use this document</w:t>
      </w:r>
    </w:p>
    <w:p>
      <w:pPr>
        <w:pStyle w:val="Body"/>
        <w:numPr>
          <w:ilvl w:val="0"/>
          <w:numId w:val="2"/>
        </w:numPr>
      </w:pPr>
      <w:r>
        <w:t xml:space="preserve">Work through the checklist with your lead investor or chair as the board is formed.</w:t>
      </w:r>
    </w:p>
    <w:p>
      <w:pPr>
        <w:pStyle w:val="Body"/>
        <w:numPr>
          <w:ilvl w:val="0"/>
          <w:numId w:val="2"/>
        </w:numPr>
      </w:pPr>
      <w:r>
        <w:t xml:space="preserve">For each open item, record an owner and a target date.</w:t>
      </w:r>
    </w:p>
    <w:p>
      <w:pPr>
        <w:pStyle w:val="Body"/>
        <w:numPr>
          <w:ilvl w:val="0"/>
          <w:numId w:val="2"/>
        </w:numPr>
      </w:pPr>
      <w:r>
        <w:t xml:space="preserve">Revisit the checklist after each financing round.</w:t>
      </w:r>
    </w:p>
    <w:p>
      <w:pPr>
        <w:pStyle w:val="Heading1"/>
      </w:pPr>
      <w:r>
        <w:t xml:space="preserve">1. Structure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Confirm board seats and who appoints them under your financing documents.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In place   ☐ Action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Decide whether to add an outside director now or at the next round.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In place   ☐ Action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Agree who chairs meetings.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In place   ☐ Action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Set up D&amp;O insurance before directors join.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In place   ☐ Action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2. Cadence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Agree a regular schedule (often every 6 to 8 weeks early on).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In place   ☐ Action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Publish a 12-month meeting schedule.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In place   ☐ Action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Agree how you will handle urgent decisions between meetings (written consents).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In place   ☐ Action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3.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Agree a standard monthly or quarterly metrics update.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In place   ☐ Action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Define what goes in the board pack and when it is sent.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In place   ☐ Action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Map investor information rights and reporting obligations.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In place   ☐ Action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4. Governance basics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Keep minutes and a resolutions log from the first meeting.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In place   ☐ Action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Maintain a cap table and option-grant approval process.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In place   ☐ Action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Set up a conflicts-of-interest policy.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In place   ☐ Action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Agree a process for approving budget and major contracts.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In place   ☐ Action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5. Getting value from the board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Tell each director what you want from them.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In place   ☐ Action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Use one meeting a year purely for strategy.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In place   ☐ Action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Ask for feedback on your board meetings at least once a year.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In place   ☐ Action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2"/>
      </w:pPr>
      <w:r>
        <w:t xml:space="preserve">Notes</w:t>
      </w:r>
    </w:p>
    <w:p>
      <w:pPr>
        <w:pStyle w:val="Fine"/>
      </w:pPr>
      <w:r>
        <w:t xml:space="preserve">Adapt this template to your organization, jurisdiction and governing documents. It is a general resource, not legal advice. Review with counsel before adoption.</w:t>
      </w:r>
    </w:p>
    <w:sectPr>
      <w:footerReference w:type="default" r:id="rId7"/>
      <w:pgSz w:w="12240" w:h="15840" w:orient="portrait"/>
      <w:pgMar w:top="1440" w:right="1440" w:bottom="1440" w:left="1440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Text"/>
      <w:pBdr>
        <w:top w:val="single" w:color="D9D2C5" w:sz="4" w:space="6"/>
      </w:pBdr>
      <w:tabs>
        <w:tab w:val="right" w:pos="9360"/>
      </w:tabs>
    </w:pPr>
    <w:r>
      <w:t xml:space="preserve">Prepared by Jacob James Kahn · jacobjameskahn.net · Review with counsel before adoption.</w:t>
    </w:r>
    <w: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73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80"/>
    </w:pPr>
    <w:rPr>
      <w:rFonts w:ascii="Georgia" w:cs="Georgia" w:eastAsia="Georgia" w:hAnsi="Georgia"/>
      <w:b/>
      <w:bCs/>
      <w:color w:val="24324A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20" w:before="320"/>
      <w:outlineLvl w:val="0"/>
    </w:pPr>
    <w:rPr>
      <w:rFonts w:ascii="Georgia" w:cs="Georgia" w:eastAsia="Georgia" w:hAnsi="Georgia"/>
      <w:b/>
      <w:bCs/>
      <w:color w:val="24324A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Georgia" w:cs="Georgia" w:eastAsia="Georgia" w:hAnsi="Georgia"/>
      <w:b/>
      <w:bCs/>
      <w:color w:val="24324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rFonts w:ascii="Calibri" w:cs="Calibri" w:eastAsia="Calibri" w:hAnsi="Calibri"/>
      <w:b/>
      <w:bCs/>
      <w:color w:val="7D5309"/>
      <w:sz w:val="22"/>
      <w:szCs w:val="22"/>
    </w:rPr>
  </w:style>
  <w:style w:type="paragraph" w:styleId="Kicker">
    <w:name w:val="Kicker"/>
    <w:basedOn w:val="Normal"/>
    <w:pPr>
      <w:spacing w:after="120"/>
    </w:pPr>
    <w:rPr>
      <w:rFonts w:ascii="Calibri" w:cs="Calibri" w:eastAsia="Calibri" w:hAnsi="Calibri"/>
      <w:b/>
      <w:bCs/>
      <w:color w:val="7D5309"/>
      <w:spacing w:val="20"/>
      <w:sz w:val="17"/>
      <w:szCs w:val="17"/>
    </w:rPr>
  </w:style>
  <w:style w:type="paragraph" w:styleId="Meta">
    <w:name w:val="Meta"/>
    <w:basedOn w:val="Normal"/>
    <w:pPr>
      <w:spacing w:after="240"/>
    </w:pPr>
    <w:rPr>
      <w:rFonts w:ascii="Calibri" w:cs="Calibri" w:eastAsia="Calibri" w:hAnsi="Calibri"/>
      <w:color w:val="5D6676"/>
      <w:sz w:val="18"/>
      <w:szCs w:val="18"/>
    </w:rPr>
  </w:style>
  <w:style w:type="paragraph" w:styleId="Body">
    <w:name w:val="Body"/>
    <w:basedOn w:val="Normal"/>
    <w:pPr>
      <w:spacing w:after="120" w:line="288"/>
    </w:pPr>
    <w:rPr>
      <w:rFonts w:ascii="Calibri" w:cs="Calibri" w:eastAsia="Calibri" w:hAnsi="Calibri"/>
      <w:sz w:val="21"/>
      <w:szCs w:val="21"/>
    </w:rPr>
  </w:style>
  <w:style w:type="paragraph" w:styleId="Cell">
    <w:name w:val="Cell"/>
    <w:basedOn w:val="Normal"/>
    <w:pPr>
      <w:spacing w:after="0" w:line="264"/>
    </w:pPr>
    <w:rPr>
      <w:rFonts w:ascii="Calibri" w:cs="Calibri" w:eastAsia="Calibri" w:hAnsi="Calibri"/>
      <w:sz w:val="20"/>
      <w:szCs w:val="20"/>
    </w:rPr>
  </w:style>
  <w:style w:type="paragraph" w:styleId="Fine">
    <w:name w:val="Fine"/>
    <w:basedOn w:val="Normal"/>
    <w:pPr>
      <w:spacing w:after="80"/>
    </w:pPr>
    <w:rPr>
      <w:rFonts w:ascii="Calibri" w:cs="Calibri" w:eastAsia="Calibri" w:hAnsi="Calibri"/>
      <w:i/>
      <w:iCs/>
      <w:color w:val="5D6676"/>
      <w:sz w:val="18"/>
      <w:szCs w:val="18"/>
    </w:rPr>
  </w:style>
  <w:style w:type="paragraph" w:styleId="FooterText">
    <w:name w:val="Footer Text"/>
    <w:basedOn w:val="Normal"/>
    <w:rPr>
      <w:rFonts w:ascii="Calibri" w:cs="Calibri" w:eastAsia="Calibri" w:hAnsi="Calibri"/>
      <w:color w:val="5D667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Founder's First Board Checklist</dc:title>
  <dc:subject>Governance Toolkit</dc:subject>
  <dc:creator>Jacob James Kahn</dc:creator>
  <cp:keywords>board governance, board essentials</cp:keywords>
  <dc:description>What to set up as you form your first board: composition, cadence, information rights, board papers and outside directors.</dc:description>
  <cp:lastModifiedBy>Jacob James Kahn</cp:lastModifiedBy>
  <cp:revision>1</cp:revision>
  <dcterms:created xsi:type="dcterms:W3CDTF">2026-10-07T23:02:42.675Z</dcterms:created>
  <dcterms:modified xsi:type="dcterms:W3CDTF">2026-10-07T23:02:42.675Z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