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cker"/>
      </w:pPr>
      <w:r>
        <w:t xml:space="preserve">GOVERNANCE TOOLKIT · FINANCIAL CONTROLS THROUGH TECHNOLOGY CHANGE</w:t>
      </w:r>
    </w:p>
    <w:p>
      <w:pPr>
        <w:pStyle w:val="Title"/>
      </w:pPr>
      <w:r>
        <w:t xml:space="preserve">ERP Go-Live: Board Readiness Checklist</w:t>
      </w:r>
    </w:p>
    <w:p>
      <w:pPr>
        <w:pStyle w:val="Meta"/>
      </w:pPr>
      <w:r>
        <w:t xml:space="preserve">Version 1.1 · Last updated October 7, 2026 · Prepared by Jacob James Kahn</w:t>
      </w:r>
    </w:p>
    <w:p>
      <w:pPr>
        <w:pStyle w:val="Body"/>
      </w:pPr>
      <w:r>
        <w:t xml:space="preserve">A board and audit committee checklist for the months before an ERP or finance-system cutover: controls, auditors, data, access, go/no-go criteria, rollback and the first close. Prepared by Jacob James Kahn, drawing on Lockheed Martin's 1LMX and Agilent Technologies' SAP S/4HANA programs.</w:t>
      </w:r>
    </w:p>
    <w:p>
      <w:pPr>
        <w:pStyle w:val="Heading2"/>
      </w:pPr>
      <w:r>
        <w:t xml:space="preserve">How to use this document</w:t>
      </w:r>
    </w:p>
    <w:p>
      <w:pPr>
        <w:pStyle w:val="Body"/>
        <w:numPr>
          <w:ilvl w:val="0"/>
          <w:numId w:val="2"/>
        </w:numPr>
      </w:pPr>
      <w:r>
        <w:t xml:space="preserve">Use this checklist at the two or three board or audit committee meetings before go-live, and once more after the first close on the new system.</w:t>
      </w:r>
    </w:p>
    <w:p>
      <w:pPr>
        <w:pStyle w:val="Body"/>
        <w:numPr>
          <w:ilvl w:val="0"/>
          <w:numId w:val="2"/>
        </w:numPr>
      </w:pPr>
      <w:r>
        <w:t xml:space="preserve">Mark each item Yes, Partly or No.</w:t>
      </w:r>
    </w:p>
    <w:p>
      <w:pPr>
        <w:pStyle w:val="Body"/>
        <w:numPr>
          <w:ilvl w:val="0"/>
          <w:numId w:val="2"/>
        </w:numPr>
      </w:pPr>
      <w:r>
        <w:t xml:space="preserve">For every Partly or No, agree an owner and a date, and ask to see the evidence at the next meeting.</w:t>
      </w:r>
    </w:p>
    <w:p>
      <w:pPr>
        <w:pStyle w:val="Heading1"/>
      </w:pPr>
      <w:r>
        <w:t xml:space="preserve">1. Controls redesign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 has listed every key control over financial reporting that the new system touches, and whether each is kept, changed, automated or retired.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Each changed control has a named future-state owner and a test date before go-live.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Quote-to-cash, procure-to-pay and record-to-report controls have been walked through end to end in the new design.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Temporary workarounds planned for cutover have an expiry date and an owner.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2. External and internal auditors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external auditors have reviewed the future-state control design, and their comments are tracked to closure.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Internal audit has completed a pre-implementation review, or the committee knows why not.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committee knows whether the change affects the auditors' planned reliance on controls for the year.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3. Data conversion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Opening balances, open orders, customer and vendor records and fixed assets have reconciliation procedures with named sign-offs.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Error rates from the last mock conversion are reported, with the tolerance management accepted.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Data that will not be converted, and where it will be kept, is documented.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4. Access and segregation of duties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Roles in the new system were designed with segregation of duties, and remaining conflicts are listed with owners.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Privileged and emergency access granted for cutover has a review date and a removal date.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5. Go/no-go criteria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Written go-live criteria were agreed in advance: testing complete, defects below a set threshold, data reconciled, users trained and support in place.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 named person has the authority to delay go-live, and the board knows who it is.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6. Rollback and continuity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cutover plan states what would trigger a rollback and the point after which rollback is no longer possible.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business has a plan to keep shipping, billing, paying and closing the books if the new system is unavailable.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7. First close and hypercare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 has set an expected timeline for the first close on the new system and the extra reviews that will run alongside it.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board or audit committee has a date to hear the result of the first close.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Benefits and open issues will be tracked through hypercare against the approved business case.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2"/>
      </w:pPr>
      <w:r>
        <w:t xml:space="preserve">Notes</w:t>
      </w:r>
    </w:p>
    <w:p>
      <w:pPr>
        <w:pStyle w:val="Fine"/>
      </w:pPr>
      <w:r>
        <w:t xml:space="preserve">Adapt this template to your organization, jurisdiction and governing documents. It is a general resource, not legal advice. Review with counsel before adoption.</w:t>
      </w:r>
    </w:p>
    <w:sectPr>
      <w:footerReference w:type="default" r:id="rId7"/>
      <w:pgSz w:w="12240" w:h="15840" w:orient="portrait"/>
      <w:pgMar w:top="1440" w:right="1440" w:bottom="1440" w:left="1440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D9D2C5" w:sz="4" w:space="6"/>
      </w:pBdr>
      <w:tabs>
        <w:tab w:val="right" w:pos="9360"/>
      </w:tabs>
    </w:pPr>
    <w:r>
      <w:t xml:space="preserve">Prepared by Jacob James Kahn · jacobjameskahn.net · Review with counsel before adoption.</w:t>
    </w:r>
    <w: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73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80"/>
    </w:pPr>
    <w:rPr>
      <w:rFonts w:ascii="Georgia" w:cs="Georgia" w:eastAsia="Georgia" w:hAnsi="Georgia"/>
      <w:b/>
      <w:bCs/>
      <w:color w:val="24324A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20" w:before="320"/>
      <w:outlineLvl w:val="0"/>
    </w:pPr>
    <w:rPr>
      <w:rFonts w:ascii="Georgia" w:cs="Georgia" w:eastAsia="Georgia" w:hAnsi="Georgia"/>
      <w:b/>
      <w:bCs/>
      <w:color w:val="2432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Georgia" w:cs="Georgia" w:eastAsia="Georgia" w:hAnsi="Georgia"/>
      <w:b/>
      <w:bCs/>
      <w:color w:val="24324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rFonts w:ascii="Calibri" w:cs="Calibri" w:eastAsia="Calibri" w:hAnsi="Calibri"/>
      <w:b/>
      <w:bCs/>
      <w:color w:val="7D5309"/>
      <w:sz w:val="22"/>
      <w:szCs w:val="22"/>
    </w:rPr>
  </w:style>
  <w:style w:type="paragraph" w:styleId="Kicker">
    <w:name w:val="Kicker"/>
    <w:basedOn w:val="Normal"/>
    <w:pPr>
      <w:spacing w:after="120"/>
    </w:pPr>
    <w:rPr>
      <w:rFonts w:ascii="Calibri" w:cs="Calibri" w:eastAsia="Calibri" w:hAnsi="Calibri"/>
      <w:b/>
      <w:bCs/>
      <w:color w:val="7D5309"/>
      <w:spacing w:val="20"/>
      <w:sz w:val="17"/>
      <w:szCs w:val="17"/>
    </w:rPr>
  </w:style>
  <w:style w:type="paragraph" w:styleId="Meta">
    <w:name w:val="Meta"/>
    <w:basedOn w:val="Normal"/>
    <w:pPr>
      <w:spacing w:after="240"/>
    </w:pPr>
    <w:rPr>
      <w:rFonts w:ascii="Calibri" w:cs="Calibri" w:eastAsia="Calibri" w:hAnsi="Calibri"/>
      <w:color w:val="5D6676"/>
      <w:sz w:val="18"/>
      <w:szCs w:val="18"/>
    </w:rPr>
  </w:style>
  <w:style w:type="paragraph" w:styleId="Body">
    <w:name w:val="Body"/>
    <w:basedOn w:val="Normal"/>
    <w:pPr>
      <w:spacing w:after="120" w:line="288"/>
    </w:pPr>
    <w:rPr>
      <w:rFonts w:ascii="Calibri" w:cs="Calibri" w:eastAsia="Calibri" w:hAnsi="Calibri"/>
      <w:sz w:val="21"/>
      <w:szCs w:val="21"/>
    </w:rPr>
  </w:style>
  <w:style w:type="paragraph" w:styleId="Cell">
    <w:name w:val="Cell"/>
    <w:basedOn w:val="Normal"/>
    <w:pPr>
      <w:spacing w:after="0" w:line="264"/>
    </w:pPr>
    <w:rPr>
      <w:rFonts w:ascii="Calibri" w:cs="Calibri" w:eastAsia="Calibri" w:hAnsi="Calibri"/>
      <w:sz w:val="20"/>
      <w:szCs w:val="20"/>
    </w:rPr>
  </w:style>
  <w:style w:type="paragraph" w:styleId="Fine">
    <w:name w:val="Fine"/>
    <w:basedOn w:val="Normal"/>
    <w:pPr>
      <w:spacing w:after="80"/>
    </w:pPr>
    <w:rPr>
      <w:rFonts w:ascii="Calibri" w:cs="Calibri" w:eastAsia="Calibri" w:hAnsi="Calibri"/>
      <w:i/>
      <w:iCs/>
      <w:color w:val="5D6676"/>
      <w:sz w:val="18"/>
      <w:szCs w:val="18"/>
    </w:rPr>
  </w:style>
  <w:style w:type="paragraph" w:styleId="FooterText">
    <w:name w:val="Footer Text"/>
    <w:basedOn w:val="Normal"/>
    <w:rPr>
      <w:rFonts w:ascii="Calibri" w:cs="Calibri" w:eastAsia="Calibri" w:hAnsi="Calibri"/>
      <w:color w:val="5D667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ERP Go-Live: Board Readiness Checklist</dc:title>
  <dc:subject>Governance Toolkit</dc:subject>
  <dc:creator>Jacob James Kahn</dc:creator>
  <cp:keywords>board governance, financial controls through technology change</cp:keywords>
  <dc:description>A board and audit committee checklist for the months before an ERP or finance-system cutover.</dc:description>
  <cp:lastModifiedBy>Jacob James Kahn</cp:lastModifiedBy>
  <cp:revision>1</cp:revision>
  <dcterms:created xsi:type="dcterms:W3CDTF">2026-10-07T23:02:42.078Z</dcterms:created>
  <dcterms:modified xsi:type="dcterms:W3CDTF">2026-10-07T23:02:42.078Z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