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cker"/>
      </w:pPr>
      <w:r>
        <w:t xml:space="preserve">GOVERNANCE TOOLKIT · BOARD ESSENTIALS</w:t>
      </w:r>
    </w:p>
    <w:p>
      <w:pPr>
        <w:pStyle w:val="Title"/>
      </w:pPr>
      <w:r>
        <w:t xml:space="preserve">Annual Board Self-Evaluation</w:t>
      </w:r>
    </w:p>
    <w:p>
      <w:pPr>
        <w:pStyle w:val="Meta"/>
      </w:pPr>
      <w:r>
        <w:t xml:space="preserve">Version 1.1 · Last updated October 7, 2026 · Prepared by Jacob James Kahn</w:t>
      </w:r>
    </w:p>
    <w:p>
      <w:pPr>
        <w:pStyle w:val="Body"/>
      </w:pPr>
      <w:r>
        <w:t xml:space="preserve">A 20-statement questionnaire across strategy, oversight, composition, dynamics and process, with a scoring guide.</w:t>
      </w:r>
    </w:p>
    <w:p>
      <w:pPr>
        <w:pStyle w:val="Heading2"/>
      </w:pPr>
      <w:r>
        <w:t xml:space="preserve">How to use this document</w:t>
      </w:r>
    </w:p>
    <w:p>
      <w:pPr>
        <w:pStyle w:val="Body"/>
        <w:numPr>
          <w:ilvl w:val="0"/>
          <w:numId w:val="2"/>
        </w:numPr>
      </w:pPr>
      <w:r>
        <w:t xml:space="preserve">Each director rates each statement from 1 (strongly disagree) to 5 (strongly agree) and adds comments.</w:t>
      </w:r>
    </w:p>
    <w:p>
      <w:pPr>
        <w:pStyle w:val="Body"/>
        <w:numPr>
          <w:ilvl w:val="0"/>
          <w:numId w:val="2"/>
        </w:numPr>
      </w:pPr>
      <w:r>
        <w:t xml:space="preserve">The Chair or an independent facilitator collates anonymous results.</w:t>
      </w:r>
    </w:p>
    <w:p>
      <w:pPr>
        <w:pStyle w:val="Body"/>
        <w:numPr>
          <w:ilvl w:val="0"/>
          <w:numId w:val="2"/>
        </w:numPr>
      </w:pPr>
      <w:r>
        <w:t xml:space="preserve">The board discusses the results in executive session and agrees three priorities for the year.</w:t>
      </w:r>
    </w:p>
    <w:p>
      <w:pPr>
        <w:pStyle w:val="Heading1"/>
      </w:pPr>
      <w:r>
        <w:t xml:space="preserve">1. Strategy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500"/>
        <w:gridCol w:w="2300"/>
        <w:gridCol w:w="20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Statement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Rating (circle one)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Comments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board spends enough time on strategy, not only reporting.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 understand how the company makes money and where it is vulnerable.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 regularly test management's assumptions and alternatives.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 oversee technology and AI as strategic topics, not only risks.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2. Oversight and risk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500"/>
        <w:gridCol w:w="2300"/>
        <w:gridCol w:w="20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Statement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Rating (circle one)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Comments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 know the company's top ten risks and who owns them.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 receive clear reporting on cybersecurity and data risk.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Our committees have the right remits and report usefully to the board.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 hold management to account for agreed actions.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3. Composition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500"/>
        <w:gridCol w:w="2300"/>
        <w:gridCol w:w="20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Statement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Rating (circle one)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Comments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board has the skills it needs for the next three years.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 have the right mix of independence, experience and perspective.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Our succession plans for the CEO and board leadership are current.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New directors are onboarded effectively.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4. Dynamics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500"/>
        <w:gridCol w:w="2300"/>
        <w:gridCol w:w="20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Statement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Rating (circle one)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Comments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Every director contributes and dissent is welcomed.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relationship between board and management is candid and constructive.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Chair runs meetings effectively.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Executive sessions are used well.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5. Process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500"/>
        <w:gridCol w:w="2300"/>
        <w:gridCol w:w="20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Statement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Rating (circle one)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Comments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17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Board papers are concise, timely and decision-focused.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Meeting time is used on the most important issues.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19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Minutes and action follow-up are reliable.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4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Directors invest in continuing education.</w:t>
            </w:r>
          </w:p>
        </w:tc>
        <w:tc>
          <w:tcPr>
            <w:tcW w:type="dxa" w:w="2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1   2   3   4   5</w:t>
            </w:r>
          </w:p>
        </w:tc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6. Scoring guide</w:t>
      </w:r>
    </w:p>
    <w:p>
      <w:pPr>
        <w:pStyle w:val="Body"/>
        <w:numPr>
          <w:ilvl w:val="0"/>
          <w:numId w:val="3"/>
        </w:numPr>
      </w:pPr>
      <w:r>
        <w:t xml:space="preserve">Average of 4.0 or above: a strength; confirm it is shared across directors.</w:t>
      </w:r>
    </w:p>
    <w:p>
      <w:pPr>
        <w:pStyle w:val="Body"/>
        <w:numPr>
          <w:ilvl w:val="0"/>
          <w:numId w:val="3"/>
        </w:numPr>
      </w:pPr>
      <w:r>
        <w:t xml:space="preserve">Average of 3.0 to 3.9: worth discussion; look at the spread of scores and the comments.</w:t>
      </w:r>
    </w:p>
    <w:p>
      <w:pPr>
        <w:pStyle w:val="Body"/>
        <w:numPr>
          <w:ilvl w:val="0"/>
          <w:numId w:val="3"/>
        </w:numPr>
      </w:pPr>
      <w:r>
        <w:t xml:space="preserve">Average below 3.0, or a wide spread of scores: a candidate for one of the year's three priorities.</w:t>
      </w:r>
    </w:p>
    <w:p>
      <w:pPr>
        <w:pStyle w:val="Heading2"/>
      </w:pPr>
      <w:r>
        <w:t xml:space="preserve">Notes</w:t>
      </w:r>
    </w:p>
    <w:p>
      <w:pPr>
        <w:pStyle w:val="Fine"/>
      </w:pPr>
      <w:r>
        <w:t xml:space="preserve">Adapt this template to your organization, jurisdiction and governing documents. It is a general resource, not legal advice. Review with counsel before adoption.</w:t>
      </w:r>
    </w:p>
    <w:sectPr>
      <w:footerReference w:type="default" r:id="rId7"/>
      <w:pgSz w:w="12240" w:h="15840" w:orient="portrait"/>
      <w:pgMar w:top="1440" w:right="1440" w:bottom="1440" w:left="1440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Text"/>
      <w:pBdr>
        <w:top w:val="single" w:color="D9D2C5" w:sz="4" w:space="6"/>
      </w:pBdr>
      <w:tabs>
        <w:tab w:val="right" w:pos="9360"/>
      </w:tabs>
    </w:pPr>
    <w:r>
      <w:t xml:space="preserve">Prepared by Jacob James Kahn · jacobjameskahn.net · Review with counsel before adoption.</w:t>
    </w:r>
    <w: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73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80"/>
    </w:pPr>
    <w:rPr>
      <w:rFonts w:ascii="Georgia" w:cs="Georgia" w:eastAsia="Georgia" w:hAnsi="Georgia"/>
      <w:b/>
      <w:bCs/>
      <w:color w:val="24324A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20" w:before="320"/>
      <w:outlineLvl w:val="0"/>
    </w:pPr>
    <w:rPr>
      <w:rFonts w:ascii="Georgia" w:cs="Georgia" w:eastAsia="Georgia" w:hAnsi="Georgia"/>
      <w:b/>
      <w:bCs/>
      <w:color w:val="24324A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Georgia" w:cs="Georgia" w:eastAsia="Georgia" w:hAnsi="Georgia"/>
      <w:b/>
      <w:bCs/>
      <w:color w:val="24324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rFonts w:ascii="Calibri" w:cs="Calibri" w:eastAsia="Calibri" w:hAnsi="Calibri"/>
      <w:b/>
      <w:bCs/>
      <w:color w:val="7D5309"/>
      <w:sz w:val="22"/>
      <w:szCs w:val="22"/>
    </w:rPr>
  </w:style>
  <w:style w:type="paragraph" w:styleId="Kicker">
    <w:name w:val="Kicker"/>
    <w:basedOn w:val="Normal"/>
    <w:pPr>
      <w:spacing w:after="120"/>
    </w:pPr>
    <w:rPr>
      <w:rFonts w:ascii="Calibri" w:cs="Calibri" w:eastAsia="Calibri" w:hAnsi="Calibri"/>
      <w:b/>
      <w:bCs/>
      <w:color w:val="7D5309"/>
      <w:spacing w:val="20"/>
      <w:sz w:val="17"/>
      <w:szCs w:val="17"/>
    </w:rPr>
  </w:style>
  <w:style w:type="paragraph" w:styleId="Meta">
    <w:name w:val="Meta"/>
    <w:basedOn w:val="Normal"/>
    <w:pPr>
      <w:spacing w:after="240"/>
    </w:pPr>
    <w:rPr>
      <w:rFonts w:ascii="Calibri" w:cs="Calibri" w:eastAsia="Calibri" w:hAnsi="Calibri"/>
      <w:color w:val="5D6676"/>
      <w:sz w:val="18"/>
      <w:szCs w:val="18"/>
    </w:rPr>
  </w:style>
  <w:style w:type="paragraph" w:styleId="Body">
    <w:name w:val="Body"/>
    <w:basedOn w:val="Normal"/>
    <w:pPr>
      <w:spacing w:after="120" w:line="288"/>
    </w:pPr>
    <w:rPr>
      <w:rFonts w:ascii="Calibri" w:cs="Calibri" w:eastAsia="Calibri" w:hAnsi="Calibri"/>
      <w:sz w:val="21"/>
      <w:szCs w:val="21"/>
    </w:rPr>
  </w:style>
  <w:style w:type="paragraph" w:styleId="Cell">
    <w:name w:val="Cell"/>
    <w:basedOn w:val="Normal"/>
    <w:pPr>
      <w:spacing w:after="0" w:line="264"/>
    </w:pPr>
    <w:rPr>
      <w:rFonts w:ascii="Calibri" w:cs="Calibri" w:eastAsia="Calibri" w:hAnsi="Calibri"/>
      <w:sz w:val="20"/>
      <w:szCs w:val="20"/>
    </w:rPr>
  </w:style>
  <w:style w:type="paragraph" w:styleId="Fine">
    <w:name w:val="Fine"/>
    <w:basedOn w:val="Normal"/>
    <w:pPr>
      <w:spacing w:after="80"/>
    </w:pPr>
    <w:rPr>
      <w:rFonts w:ascii="Calibri" w:cs="Calibri" w:eastAsia="Calibri" w:hAnsi="Calibri"/>
      <w:i/>
      <w:iCs/>
      <w:color w:val="5D6676"/>
      <w:sz w:val="18"/>
      <w:szCs w:val="18"/>
    </w:rPr>
  </w:style>
  <w:style w:type="paragraph" w:styleId="FooterText">
    <w:name w:val="Footer Text"/>
    <w:basedOn w:val="Normal"/>
    <w:rPr>
      <w:rFonts w:ascii="Calibri" w:cs="Calibri" w:eastAsia="Calibri" w:hAnsi="Calibri"/>
      <w:color w:val="5D667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Board Self-Evaluation</dc:title>
  <dc:subject>Governance Toolkit</dc:subject>
  <dc:creator>Jacob James Kahn</dc:creator>
  <cp:keywords>board governance, board essentials</cp:keywords>
  <dc:description>A 20-statement board self-evaluation questionnaire across strategy, oversight, composition, dynamics and process.</dc:description>
  <cp:lastModifiedBy>Jacob James Kahn</cp:lastModifiedBy>
  <cp:revision>1</cp:revision>
  <dcterms:created xsi:type="dcterms:W3CDTF">2026-10-07T23:02:42.651Z</dcterms:created>
  <dcterms:modified xsi:type="dcterms:W3CDTF">2026-10-07T23:02:42.651Z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