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cker"/>
      </w:pPr>
      <w:r>
        <w:t xml:space="preserve">GOVERNANCE TOOLKIT · BOARD ESSENTIALS</w:t>
      </w:r>
    </w:p>
    <w:p>
      <w:pPr>
        <w:pStyle w:val="Title"/>
      </w:pPr>
      <w:r>
        <w:t xml:space="preserve">Board Meeting Readiness Checklist</w:t>
      </w:r>
    </w:p>
    <w:p>
      <w:pPr>
        <w:pStyle w:val="Meta"/>
      </w:pPr>
      <w:r>
        <w:t xml:space="preserve">Version 1.1 · Last updated October 7, 2026 · Prepared by Jacob James Kahn</w:t>
      </w:r>
    </w:p>
    <w:p>
      <w:pPr>
        <w:pStyle w:val="Body"/>
      </w:pPr>
      <w:r>
        <w:t xml:space="preserve">A countdown from four weeks out to one week after, so nothing is missed before, during or after the meeting.</w:t>
      </w:r>
    </w:p>
    <w:p>
      <w:pPr>
        <w:pStyle w:val="Heading2"/>
      </w:pPr>
      <w:r>
        <w:t xml:space="preserve">How to use this document</w:t>
      </w:r>
    </w:p>
    <w:p>
      <w:pPr>
        <w:pStyle w:val="Body"/>
        <w:numPr>
          <w:ilvl w:val="0"/>
          <w:numId w:val="2"/>
        </w:numPr>
      </w:pPr>
      <w:r>
        <w:t xml:space="preserve">Set the meeting date and work back from it to fill in the dates for each stage.</w:t>
      </w:r>
    </w:p>
    <w:p>
      <w:pPr>
        <w:pStyle w:val="Body"/>
        <w:numPr>
          <w:ilvl w:val="0"/>
          <w:numId w:val="2"/>
        </w:numPr>
      </w:pPr>
      <w:r>
        <w:t xml:space="preserve">Tick items as they are done and note an owner for anything outstanding.</w:t>
      </w:r>
    </w:p>
    <w:p>
      <w:pPr>
        <w:pStyle w:val="Body"/>
        <w:numPr>
          <w:ilvl w:val="0"/>
          <w:numId w:val="2"/>
        </w:numPr>
      </w:pPr>
      <w:r>
        <w:t xml:space="preserve">Keep the completed checklist with the meeting records.</w:t>
      </w:r>
    </w:p>
    <w:p>
      <w:pPr>
        <w:pStyle w:val="Heading1"/>
      </w:pPr>
      <w:r>
        <w:t xml:space="preserve">1. 4 weeks before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400"/>
        <w:gridCol w:w="19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Confirm date, venue or video link and quorum.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Agree agenda with Chair and CEO.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Send paper requests with deadlines and the paper template.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2. 2 weeks before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400"/>
        <w:gridCol w:w="19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Chase outstanding papers.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Check items needing formal resolutions; draft resolutions.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Confirm attendees, guests and presenters.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3. 1 week before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400"/>
        <w:gridCol w:w="19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Chair reviews the board pack.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Circulate board pack (minimum 7 days ahead).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Circulate conflicts-of-interest register for update.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4. Meeting day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400"/>
        <w:gridCol w:w="19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Confirm quorum and record attendance.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Record declarations of interest.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Note decisions, votes and action owners.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Hold executive session; record only that it took place.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5. Within 1 week after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400"/>
        <w:gridCol w:w="19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Circulate draft minutes to Chair, then to the board.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Send action log with owners and due dates.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File signed resolutions and update statutory registers.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54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Update the annual board schedule.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Done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2"/>
      </w:pPr>
      <w:r>
        <w:t xml:space="preserve">Notes</w:t>
      </w:r>
    </w:p>
    <w:p>
      <w:pPr>
        <w:pStyle w:val="Fine"/>
      </w:pPr>
      <w:r>
        <w:t xml:space="preserve">Adapt this template to your organization, jurisdiction and governing documents. It is a general resource, not legal advice. Review with counsel before adoption.</w:t>
      </w:r>
    </w:p>
    <w:sectPr>
      <w:footerReference w:type="default" r:id="rId7"/>
      <w:pgSz w:w="12240" w:h="15840" w:orient="portrait"/>
      <w:pgMar w:top="1440" w:right="1440" w:bottom="1440" w:left="1440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D9D2C5" w:sz="4" w:space="6"/>
      </w:pBdr>
      <w:tabs>
        <w:tab w:val="right" w:pos="9360"/>
      </w:tabs>
    </w:pPr>
    <w:r>
      <w:t xml:space="preserve">Prepared by Jacob James Kahn · jacobjameskahn.net · Review with counsel before adoption.</w:t>
    </w:r>
    <w: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73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80"/>
    </w:pPr>
    <w:rPr>
      <w:rFonts w:ascii="Georgia" w:cs="Georgia" w:eastAsia="Georgia" w:hAnsi="Georgia"/>
      <w:b/>
      <w:bCs/>
      <w:color w:val="24324A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20" w:before="320"/>
      <w:outlineLvl w:val="0"/>
    </w:pPr>
    <w:rPr>
      <w:rFonts w:ascii="Georgia" w:cs="Georgia" w:eastAsia="Georgia" w:hAnsi="Georgia"/>
      <w:b/>
      <w:bCs/>
      <w:color w:val="2432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Georgia" w:cs="Georgia" w:eastAsia="Georgia" w:hAnsi="Georgia"/>
      <w:b/>
      <w:bCs/>
      <w:color w:val="24324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rFonts w:ascii="Calibri" w:cs="Calibri" w:eastAsia="Calibri" w:hAnsi="Calibri"/>
      <w:b/>
      <w:bCs/>
      <w:color w:val="7D5309"/>
      <w:sz w:val="22"/>
      <w:szCs w:val="22"/>
    </w:rPr>
  </w:style>
  <w:style w:type="paragraph" w:styleId="Kicker">
    <w:name w:val="Kicker"/>
    <w:basedOn w:val="Normal"/>
    <w:pPr>
      <w:spacing w:after="120"/>
    </w:pPr>
    <w:rPr>
      <w:rFonts w:ascii="Calibri" w:cs="Calibri" w:eastAsia="Calibri" w:hAnsi="Calibri"/>
      <w:b/>
      <w:bCs/>
      <w:color w:val="7D5309"/>
      <w:spacing w:val="20"/>
      <w:sz w:val="17"/>
      <w:szCs w:val="17"/>
    </w:rPr>
  </w:style>
  <w:style w:type="paragraph" w:styleId="Meta">
    <w:name w:val="Meta"/>
    <w:basedOn w:val="Normal"/>
    <w:pPr>
      <w:spacing w:after="240"/>
    </w:pPr>
    <w:rPr>
      <w:rFonts w:ascii="Calibri" w:cs="Calibri" w:eastAsia="Calibri" w:hAnsi="Calibri"/>
      <w:color w:val="5D6676"/>
      <w:sz w:val="18"/>
      <w:szCs w:val="18"/>
    </w:rPr>
  </w:style>
  <w:style w:type="paragraph" w:styleId="Body">
    <w:name w:val="Body"/>
    <w:basedOn w:val="Normal"/>
    <w:pPr>
      <w:spacing w:after="120" w:line="288"/>
    </w:pPr>
    <w:rPr>
      <w:rFonts w:ascii="Calibri" w:cs="Calibri" w:eastAsia="Calibri" w:hAnsi="Calibri"/>
      <w:sz w:val="21"/>
      <w:szCs w:val="21"/>
    </w:rPr>
  </w:style>
  <w:style w:type="paragraph" w:styleId="Cell">
    <w:name w:val="Cell"/>
    <w:basedOn w:val="Normal"/>
    <w:pPr>
      <w:spacing w:after="0" w:line="264"/>
    </w:pPr>
    <w:rPr>
      <w:rFonts w:ascii="Calibri" w:cs="Calibri" w:eastAsia="Calibri" w:hAnsi="Calibri"/>
      <w:sz w:val="20"/>
      <w:szCs w:val="20"/>
    </w:rPr>
  </w:style>
  <w:style w:type="paragraph" w:styleId="Fine">
    <w:name w:val="Fine"/>
    <w:basedOn w:val="Normal"/>
    <w:pPr>
      <w:spacing w:after="80"/>
    </w:pPr>
    <w:rPr>
      <w:rFonts w:ascii="Calibri" w:cs="Calibri" w:eastAsia="Calibri" w:hAnsi="Calibri"/>
      <w:i/>
      <w:iCs/>
      <w:color w:val="5D6676"/>
      <w:sz w:val="18"/>
      <w:szCs w:val="18"/>
    </w:rPr>
  </w:style>
  <w:style w:type="paragraph" w:styleId="FooterText">
    <w:name w:val="Footer Text"/>
    <w:basedOn w:val="Normal"/>
    <w:rPr>
      <w:rFonts w:ascii="Calibri" w:cs="Calibri" w:eastAsia="Calibri" w:hAnsi="Calibri"/>
      <w:color w:val="5D667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Readiness Checklist</dc:title>
  <dc:subject>Governance Toolkit</dc:subject>
  <dc:creator>Jacob James Kahn</dc:creator>
  <cp:keywords>board governance, board essentials</cp:keywords>
  <dc:description>A countdown from four weeks before a board meeting to one week after, so nothing is missed.</dc:description>
  <cp:lastModifiedBy>Jacob James Kahn</cp:lastModifiedBy>
  <cp:revision>1</cp:revision>
  <dcterms:created xsi:type="dcterms:W3CDTF">2026-10-07T23:02:42.624Z</dcterms:created>
  <dcterms:modified xsi:type="dcterms:W3CDTF">2026-10-07T23:02:42.624Z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