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Kicker"/>
      </w:pPr>
      <w:r>
        <w:t xml:space="preserve">GOVERNANCE TOOLKIT · BOARD ESSENTIALS</w:t>
      </w:r>
    </w:p>
    <w:p>
      <w:pPr>
        <w:pStyle w:val="Title"/>
      </w:pPr>
      <w:r>
        <w:t xml:space="preserve">Audit Committee Charter</w:t>
      </w:r>
    </w:p>
    <w:p>
      <w:pPr>
        <w:pStyle w:val="Meta"/>
      </w:pPr>
      <w:r>
        <w:t xml:space="preserve">Version 1.1 · Last updated October 7, 2026 · Prepared by Jacob James Kahn</w:t>
      </w:r>
    </w:p>
    <w:p>
      <w:pPr>
        <w:pStyle w:val="Body"/>
      </w:pPr>
      <w:r>
        <w:t xml:space="preserve">A ready-to-adapt charter covering composition, financial reporting, auditor oversight, internal controls, risk and whistleblower procedures. Text in [brackets] is to be completed or chosen by the company.</w:t>
      </w:r>
    </w:p>
    <w:p>
      <w:pPr>
        <w:pStyle w:val="Heading2"/>
      </w:pPr>
      <w:r>
        <w:t xml:space="preserve">How to use this document</w:t>
      </w:r>
    </w:p>
    <w:p>
      <w:pPr>
        <w:pStyle w:val="Body"/>
        <w:numPr>
          <w:ilvl w:val="0"/>
          <w:numId w:val="2"/>
        </w:numPr>
      </w:pPr>
      <w:r>
        <w:t xml:space="preserve">Replace the bracketed text with your company's details, such as the number of members and meetings.</w:t>
      </w:r>
    </w:p>
    <w:p>
      <w:pPr>
        <w:pStyle w:val="Body"/>
        <w:numPr>
          <w:ilvl w:val="0"/>
          <w:numId w:val="2"/>
        </w:numPr>
      </w:pPr>
      <w:r>
        <w:t xml:space="preserve">Compare the draft with your governing documents and any listing or regulatory standards that apply.</w:t>
      </w:r>
    </w:p>
    <w:p>
      <w:pPr>
        <w:pStyle w:val="Body"/>
        <w:numPr>
          <w:ilvl w:val="0"/>
          <w:numId w:val="2"/>
        </w:numPr>
      </w:pPr>
      <w:r>
        <w:t xml:space="preserve">Have the board approve the charter, then review it each year and record changes in the minutes.</w:t>
      </w:r>
    </w:p>
    <w:p>
      <w:pPr>
        <w:pStyle w:val="Heading1"/>
      </w:pPr>
      <w:r>
        <w:t xml:space="preserve">1. Purpose</w:t>
      </w:r>
    </w:p>
    <w:p>
      <w:pPr>
        <w:pStyle w:val="Body"/>
      </w:pPr>
      <w:r>
        <w:t xml:space="preserve">The Audit Committee (the "Committee") of the Board of Directors of [Company] assists the Board in overseeing (a) the integrity of the company's financial statements, (b) the qualifications, independence and performance of the external auditor, (c) the internal audit function, (d) internal control over financial reporting, and (e) compliance with legal and regulatory requirements.</w:t>
      </w:r>
    </w:p>
    <w:p>
      <w:pPr>
        <w:pStyle w:val="Heading1"/>
      </w:pPr>
      <w:r>
        <w:t xml:space="preserve">2. Composition</w:t>
      </w:r>
    </w:p>
    <w:p>
      <w:pPr>
        <w:pStyle w:val="Body"/>
        <w:numPr>
          <w:ilvl w:val="0"/>
          <w:numId w:val="3"/>
        </w:numPr>
      </w:pPr>
      <w:r>
        <w:t xml:space="preserve">At least [three] directors, each independent under applicable listing and regulatory standards.</w:t>
      </w:r>
    </w:p>
    <w:p>
      <w:pPr>
        <w:pStyle w:val="Body"/>
        <w:numPr>
          <w:ilvl w:val="0"/>
          <w:numId w:val="3"/>
        </w:numPr>
      </w:pPr>
      <w:r>
        <w:t xml:space="preserve">All members financially literate; at least one member with accounting or related financial management expertise, as required by applicable standards.</w:t>
      </w:r>
    </w:p>
    <w:p>
      <w:pPr>
        <w:pStyle w:val="Body"/>
        <w:numPr>
          <w:ilvl w:val="0"/>
          <w:numId w:val="3"/>
        </w:numPr>
      </w:pPr>
      <w:r>
        <w:t xml:space="preserve">Members and the Chair are appointed and removed by the Board on recommendation of the Nominating and Governance Committee.</w:t>
      </w:r>
    </w:p>
    <w:p>
      <w:pPr>
        <w:pStyle w:val="Heading1"/>
      </w:pPr>
      <w:r>
        <w:t xml:space="preserve">3. Meetings</w:t>
      </w:r>
    </w:p>
    <w:p>
      <w:pPr>
        <w:pStyle w:val="Body"/>
        <w:numPr>
          <w:ilvl w:val="0"/>
          <w:numId w:val="3"/>
        </w:numPr>
      </w:pPr>
      <w:r>
        <w:t xml:space="preserve">At least [four] times a year, and more often as needed.</w:t>
      </w:r>
    </w:p>
    <w:p>
      <w:pPr>
        <w:pStyle w:val="Body"/>
        <w:numPr>
          <w:ilvl w:val="0"/>
          <w:numId w:val="3"/>
        </w:numPr>
      </w:pPr>
      <w:r>
        <w:t xml:space="preserve">A majority of members is a quorum.</w:t>
      </w:r>
    </w:p>
    <w:p>
      <w:pPr>
        <w:pStyle w:val="Body"/>
        <w:numPr>
          <w:ilvl w:val="0"/>
          <w:numId w:val="3"/>
        </w:numPr>
      </w:pPr>
      <w:r>
        <w:t xml:space="preserve">Executive sessions with the external auditor, head of internal audit and CFO at each regular meeting.</w:t>
      </w:r>
    </w:p>
    <w:p>
      <w:pPr>
        <w:pStyle w:val="Body"/>
        <w:numPr>
          <w:ilvl w:val="0"/>
          <w:numId w:val="3"/>
        </w:numPr>
      </w:pPr>
      <w:r>
        <w:t xml:space="preserve">Minutes are kept and reported to the Board.</w:t>
      </w:r>
    </w:p>
    <w:p>
      <w:pPr>
        <w:pStyle w:val="Heading1"/>
      </w:pPr>
      <w:r>
        <w:t xml:space="preserve">4. Responsibilities</w:t>
      </w:r>
    </w:p>
    <w:p>
      <w:pPr>
        <w:pStyle w:val="Heading3"/>
      </w:pPr>
      <w:r>
        <w:t xml:space="preserve">Financial reporting</w:t>
      </w:r>
    </w:p>
    <w:p>
      <w:pPr>
        <w:pStyle w:val="Body"/>
        <w:numPr>
          <w:ilvl w:val="0"/>
          <w:numId w:val="3"/>
        </w:numPr>
      </w:pPr>
      <w:r>
        <w:t xml:space="preserve">Review annual and quarterly financial statements and earnings releases with management and the auditor before release.</w:t>
      </w:r>
    </w:p>
    <w:p>
      <w:pPr>
        <w:pStyle w:val="Body"/>
        <w:numPr>
          <w:ilvl w:val="0"/>
          <w:numId w:val="3"/>
        </w:numPr>
      </w:pPr>
      <w:r>
        <w:t xml:space="preserve">Review significant accounting policies, judgments and estimates.</w:t>
      </w:r>
    </w:p>
    <w:p>
      <w:pPr>
        <w:pStyle w:val="Heading3"/>
      </w:pPr>
      <w:r>
        <w:t xml:space="preserve">External auditor</w:t>
      </w:r>
    </w:p>
    <w:p>
      <w:pPr>
        <w:pStyle w:val="Body"/>
        <w:numPr>
          <w:ilvl w:val="0"/>
          <w:numId w:val="3"/>
        </w:numPr>
      </w:pPr>
      <w:r>
        <w:t xml:space="preserve">Appoint, compensate, oversee and, where appropriate, replace the external auditor.</w:t>
      </w:r>
    </w:p>
    <w:p>
      <w:pPr>
        <w:pStyle w:val="Body"/>
        <w:numPr>
          <w:ilvl w:val="0"/>
          <w:numId w:val="3"/>
        </w:numPr>
      </w:pPr>
      <w:r>
        <w:t xml:space="preserve">Pre-approve all audit and permitted non-audit services.</w:t>
      </w:r>
    </w:p>
    <w:p>
      <w:pPr>
        <w:pStyle w:val="Body"/>
        <w:numPr>
          <w:ilvl w:val="0"/>
          <w:numId w:val="3"/>
        </w:numPr>
      </w:pPr>
      <w:r>
        <w:t xml:space="preserve">Review the auditor's independence at least annually.</w:t>
      </w:r>
    </w:p>
    <w:p>
      <w:pPr>
        <w:pStyle w:val="Heading3"/>
      </w:pPr>
      <w:r>
        <w:t xml:space="preserve">Internal audit and controls</w:t>
      </w:r>
    </w:p>
    <w:p>
      <w:pPr>
        <w:pStyle w:val="Body"/>
        <w:numPr>
          <w:ilvl w:val="0"/>
          <w:numId w:val="3"/>
        </w:numPr>
      </w:pPr>
      <w:r>
        <w:t xml:space="preserve">Approve the internal audit charter and annual plan; review significant findings.</w:t>
      </w:r>
    </w:p>
    <w:p>
      <w:pPr>
        <w:pStyle w:val="Body"/>
        <w:numPr>
          <w:ilvl w:val="0"/>
          <w:numId w:val="3"/>
        </w:numPr>
      </w:pPr>
      <w:r>
        <w:t xml:space="preserve">Review the design and effectiveness of internal controls, including IT and cybersecurity controls.</w:t>
      </w:r>
    </w:p>
    <w:p>
      <w:pPr>
        <w:pStyle w:val="Heading3"/>
      </w:pPr>
      <w:r>
        <w:t xml:space="preserve">Risk and compliance</w:t>
      </w:r>
    </w:p>
    <w:p>
      <w:pPr>
        <w:pStyle w:val="Body"/>
        <w:numPr>
          <w:ilvl w:val="0"/>
          <w:numId w:val="3"/>
        </w:numPr>
      </w:pPr>
      <w:r>
        <w:t xml:space="preserve">Review the company's major financial, technology and compliance risk exposures and management's response.</w:t>
      </w:r>
    </w:p>
    <w:p>
      <w:pPr>
        <w:pStyle w:val="Body"/>
        <w:numPr>
          <w:ilvl w:val="0"/>
          <w:numId w:val="3"/>
        </w:numPr>
      </w:pPr>
      <w:r>
        <w:t xml:space="preserve">Establish procedures for confidential complaints about accounting, controls or audit matters, and oversee investigations.</w:t>
      </w:r>
    </w:p>
    <w:p>
      <w:pPr>
        <w:pStyle w:val="Heading1"/>
      </w:pPr>
      <w:r>
        <w:t xml:space="preserve">5. Authority</w:t>
      </w:r>
    </w:p>
    <w:p>
      <w:pPr>
        <w:pStyle w:val="Body"/>
      </w:pPr>
      <w:r>
        <w:t xml:space="preserve">The Committee may retain independent counsel, accountants or other experts at the company's expense and has full access to company records and personnel.</w:t>
      </w:r>
    </w:p>
    <w:p>
      <w:pPr>
        <w:pStyle w:val="Heading1"/>
      </w:pPr>
      <w:r>
        <w:t xml:space="preserve">6. Annual review</w:t>
      </w:r>
    </w:p>
    <w:p>
      <w:pPr>
        <w:pStyle w:val="Body"/>
      </w:pPr>
      <w:r>
        <w:t xml:space="preserve">The Committee reviews this charter and evaluates its own performance each year and reports the results to the Board.</w:t>
      </w:r>
    </w:p>
    <w:p>
      <w:pPr>
        <w:pStyle w:val="Heading1"/>
      </w:pPr>
      <w:r>
        <w:t xml:space="preserve">7. Approval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Field</w:t>
            </w:r>
          </w:p>
        </w:tc>
        <w:tc>
          <w:tcPr>
            <w:tcW w:type="dxa" w:w="57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Entry</w:t>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Approved by the Board of Directors on [date]</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Last reviewed by the Committee on [date]</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2"/>
      </w:pPr>
      <w:r>
        <w:t xml:space="preserve">Notes</w:t>
      </w:r>
    </w:p>
    <w:p>
      <w:pPr>
        <w:pStyle w:val="Fine"/>
      </w:pPr>
      <w:r>
        <w:t xml:space="preserve">Adapt this template to your organization, jurisdiction and governing documents. It is a general resource, not legal advice. Review with counsel before adoption.</w:t>
      </w:r>
    </w:p>
    <w:sectPr>
      <w:footerReference w:type="default" r:id="rId7"/>
      <w:pgSz w:w="12240" w:h="15840" w:orient="portrait"/>
      <w:pgMar w:top="1440" w:right="1440" w:bottom="1440" w:left="1440"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pBdr>
        <w:top w:val="single" w:color="D9D2C5" w:sz="4" w:space="6"/>
      </w:pBdr>
      <w:tabs>
        <w:tab w:val="right" w:pos="9360"/>
      </w:tabs>
    </w:pPr>
    <w:r>
      <w:t xml:space="preserve">Prepared by Jacob James Kahn · jacobjameskahn.net · Review with counsel before adoption.</w:t>
    </w:r>
    <w: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73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80"/>
    </w:pPr>
    <w:rPr>
      <w:rFonts w:ascii="Georgia" w:cs="Georgia" w:eastAsia="Georgia" w:hAnsi="Georgia"/>
      <w:b/>
      <w:bCs/>
      <w:color w:val="24324A"/>
      <w:sz w:val="44"/>
      <w:szCs w:val="44"/>
    </w:rPr>
  </w:style>
  <w:style w:type="paragraph" w:styleId="Heading1">
    <w:name w:val="Heading 1"/>
    <w:basedOn w:val="Normal"/>
    <w:next w:val="Normal"/>
    <w:qFormat/>
    <w:pPr>
      <w:keepNext/>
      <w:spacing w:after="120" w:before="320"/>
      <w:outlineLvl w:val="0"/>
    </w:pPr>
    <w:rPr>
      <w:rFonts w:ascii="Georgia" w:cs="Georgia" w:eastAsia="Georgia" w:hAnsi="Georgia"/>
      <w:b/>
      <w:bCs/>
      <w:color w:val="24324A"/>
      <w:sz w:val="28"/>
      <w:szCs w:val="28"/>
    </w:rPr>
  </w:style>
  <w:style w:type="paragraph" w:styleId="Heading2">
    <w:name w:val="Heading 2"/>
    <w:basedOn w:val="Normal"/>
    <w:next w:val="Normal"/>
    <w:qFormat/>
    <w:pPr>
      <w:keepNext/>
      <w:spacing w:after="100" w:before="240"/>
      <w:outlineLvl w:val="1"/>
    </w:pPr>
    <w:rPr>
      <w:rFonts w:ascii="Georgia" w:cs="Georgia" w:eastAsia="Georgia" w:hAnsi="Georgia"/>
      <w:b/>
      <w:bCs/>
      <w:color w:val="24324A"/>
      <w:sz w:val="24"/>
      <w:szCs w:val="24"/>
    </w:rPr>
  </w:style>
  <w:style w:type="paragraph" w:styleId="Heading3">
    <w:name w:val="Heading 3"/>
    <w:basedOn w:val="Normal"/>
    <w:next w:val="Normal"/>
    <w:qFormat/>
    <w:pPr>
      <w:keepNext/>
      <w:spacing w:after="60" w:before="160"/>
      <w:outlineLvl w:val="2"/>
    </w:pPr>
    <w:rPr>
      <w:rFonts w:ascii="Calibri" w:cs="Calibri" w:eastAsia="Calibri" w:hAnsi="Calibri"/>
      <w:b/>
      <w:bCs/>
      <w:color w:val="7D5309"/>
      <w:sz w:val="22"/>
      <w:szCs w:val="22"/>
    </w:rPr>
  </w:style>
  <w:style w:type="paragraph" w:styleId="Kicker">
    <w:name w:val="Kicker"/>
    <w:basedOn w:val="Normal"/>
    <w:pPr>
      <w:spacing w:after="120"/>
    </w:pPr>
    <w:rPr>
      <w:rFonts w:ascii="Calibri" w:cs="Calibri" w:eastAsia="Calibri" w:hAnsi="Calibri"/>
      <w:b/>
      <w:bCs/>
      <w:color w:val="7D5309"/>
      <w:spacing w:val="20"/>
      <w:sz w:val="17"/>
      <w:szCs w:val="17"/>
    </w:rPr>
  </w:style>
  <w:style w:type="paragraph" w:styleId="Meta">
    <w:name w:val="Meta"/>
    <w:basedOn w:val="Normal"/>
    <w:pPr>
      <w:spacing w:after="240"/>
    </w:pPr>
    <w:rPr>
      <w:rFonts w:ascii="Calibri" w:cs="Calibri" w:eastAsia="Calibri" w:hAnsi="Calibri"/>
      <w:color w:val="5D6676"/>
      <w:sz w:val="18"/>
      <w:szCs w:val="18"/>
    </w:rPr>
  </w:style>
  <w:style w:type="paragraph" w:styleId="Body">
    <w:name w:val="Body"/>
    <w:basedOn w:val="Normal"/>
    <w:pPr>
      <w:spacing w:after="120" w:line="288"/>
    </w:pPr>
    <w:rPr>
      <w:rFonts w:ascii="Calibri" w:cs="Calibri" w:eastAsia="Calibri" w:hAnsi="Calibri"/>
      <w:sz w:val="21"/>
      <w:szCs w:val="21"/>
    </w:rPr>
  </w:style>
  <w:style w:type="paragraph" w:styleId="Cell">
    <w:name w:val="Cell"/>
    <w:basedOn w:val="Normal"/>
    <w:pPr>
      <w:spacing w:after="0" w:line="264"/>
    </w:pPr>
    <w:rPr>
      <w:rFonts w:ascii="Calibri" w:cs="Calibri" w:eastAsia="Calibri" w:hAnsi="Calibri"/>
      <w:sz w:val="20"/>
      <w:szCs w:val="20"/>
    </w:rPr>
  </w:style>
  <w:style w:type="paragraph" w:styleId="Fine">
    <w:name w:val="Fine"/>
    <w:basedOn w:val="Normal"/>
    <w:pPr>
      <w:spacing w:after="80"/>
    </w:pPr>
    <w:rPr>
      <w:rFonts w:ascii="Calibri" w:cs="Calibri" w:eastAsia="Calibri" w:hAnsi="Calibri"/>
      <w:i/>
      <w:iCs/>
      <w:color w:val="5D6676"/>
      <w:sz w:val="18"/>
      <w:szCs w:val="18"/>
    </w:rPr>
  </w:style>
  <w:style w:type="paragraph" w:styleId="FooterText">
    <w:name w:val="Footer Text"/>
    <w:basedOn w:val="Normal"/>
    <w:rPr>
      <w:rFonts w:ascii="Calibri" w:cs="Calibri" w:eastAsia="Calibri" w:hAnsi="Calibri"/>
      <w:color w:val="5D667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Committee Charter</dc:title>
  <dc:subject>Governance Toolkit</dc:subject>
  <dc:creator>Jacob James Kahn</dc:creator>
  <cp:keywords>board governance, board essentials</cp:keywords>
  <dc:description>A ready-to-adapt audit committee charter covering composition, financial reporting, auditor oversight, internal controls, risk and whistleblower procedures.</dc:description>
  <cp:lastModifiedBy>Jacob James Kahn</cp:lastModifiedBy>
  <cp:revision>1</cp:revision>
  <dcterms:created xsi:type="dcterms:W3CDTF">2026-10-07T23:02:42.548Z</dcterms:created>
  <dcterms:modified xsi:type="dcterms:W3CDTF">2026-10-07T23:02:42.548Z</dcterms:modified>
</cp:coreProperties>
</file>

<file path=docProps/custom.xml><?xml version="1.0" encoding="utf-8"?>
<Properties xmlns="http://schemas.openxmlformats.org/officeDocument/2006/custom-properties" xmlns:vt="http://schemas.openxmlformats.org/officeDocument/2006/docPropsVTypes"/>
</file>