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Kicker"/>
      </w:pPr>
      <w:r>
        <w:t xml:space="preserve">GOVERNANCE TOOLKIT · AI AND TECHNOLOGY OVERSIGHT</w:t>
      </w:r>
    </w:p>
    <w:p>
      <w:pPr>
        <w:pStyle w:val="Title"/>
      </w:pPr>
      <w:r>
        <w:t xml:space="preserve">AI Oversight: Questions for the Board</w:t>
      </w:r>
    </w:p>
    <w:p>
      <w:pPr>
        <w:pStyle w:val="Meta"/>
      </w:pPr>
      <w:r>
        <w:t xml:space="preserve">Version 1.0 · Last updated October 7, 2026 · Prepared by Jacob James Kahn</w:t>
      </w:r>
    </w:p>
    <w:p>
      <w:pPr>
        <w:pStyle w:val="Body"/>
      </w:pPr>
      <w:r>
        <w:t xml:space="preserve">This question set helps a board or committee oversee the company's use of artificial intelligence. It is organized around the seven areas where board oversight most often needs evidence rather than assurance. Use it to plan an agenda item, to brief new directors, or to review a management presentation on AI.</w:t>
      </w:r>
    </w:p>
    <w:p>
      <w:pPr>
        <w:pStyle w:val="Heading2"/>
      </w:pPr>
      <w:r>
        <w:t xml:space="preserve">How to use this document</w:t>
      </w:r>
    </w:p>
    <w:p>
      <w:pPr>
        <w:pStyle w:val="Body"/>
        <w:numPr>
          <w:ilvl w:val="0"/>
          <w:numId w:val="2"/>
        </w:numPr>
      </w:pPr>
      <w:r>
        <w:t xml:space="preserve">Choose the sections that fit the company's current use of AI; not every question applies to every company.</w:t>
      </w:r>
    </w:p>
    <w:p>
      <w:pPr>
        <w:pStyle w:val="Body"/>
        <w:numPr>
          <w:ilvl w:val="0"/>
          <w:numId w:val="2"/>
        </w:numPr>
      </w:pPr>
      <w:r>
        <w:t xml:space="preserve">Send the selected questions to management before the meeting so answers can be supported with evidence.</w:t>
      </w:r>
    </w:p>
    <w:p>
      <w:pPr>
        <w:pStyle w:val="Body"/>
        <w:numPr>
          <w:ilvl w:val="0"/>
          <w:numId w:val="2"/>
        </w:numPr>
      </w:pPr>
      <w:r>
        <w:t xml:space="preserve">Record who owns each follow-up and when the board will see it again.</w:t>
      </w:r>
    </w:p>
    <w:p>
      <w:pPr>
        <w:pStyle w:val="Heading1"/>
      </w:pPr>
      <w:r>
        <w:t xml:space="preserve">1. Strategy and use cases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Where is AI in use today across the business, including tools adopted by individual teams and AI features inside software the company buys?</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uses are expected to change revenue, cost or customer outcomes materially, and how will the board know whether they do?</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uses has management decided not to pursue, and why?</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4</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does the company decide whether a proposed use of AI needs board or committee review before launch?</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2. Accountability and ownership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5</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executive is accountable for AI across the company, and to which committee do they report?</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6</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Who owns each significant AI-supported decision, and is that person able to explain and override the output?</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7</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Is there a current inventory of AI uses with an owner, a purpose and a risk rating for each?</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8</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board committee has AI oversight in its charter, and how does it coordinate with the audit and risk committees?</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3. Data and model risk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9</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What data trains or feeds each significant model, and does the company have the rights to use it that way?</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10</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are models tested for accuracy, bias and drift before and after deployment, and who reviews the results?</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11</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uses rely on third-party models, and what happens if a provider changes or withdraws a model?</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12</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is confidential, personal or customer data kept out of tools that are not approved for it?</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4. Controls and audit trail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13</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Where does AI now perform or support a step that an internal control depends on, including in the financial close?</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14</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Can the company reconstruct what an AI system produced, from which inputs, and who approved the result?</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15</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Have internal audit and the external auditor been told where AI touches financial reporting, and what have they said?</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16</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are changes to models, prompts or configurations approved and logged?</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17</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What evidence would show the board that the controls around AI are operating, not only designed?</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5. Legal and regulatory exposure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18</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laws, regulations and contract terms apply to the company's AI uses in each market where it operates?</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19</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does the company track new AI rules and assess their effect on current uses?</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20</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What does the company disclose publicly about its use of AI, and who reviews those statements for accuracy?</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21</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Have intellectual-property, privacy and employment questions been reviewed by counsel for the significant uses?</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6. Incident response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22</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What counts as an AI incident, and who decides whether one has occurred?</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23</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quickly would the board or a committee hear about a significant AI incident, and through whom?</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24</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Has the company rehearsed an AI incident, such as harmful output, a data leak through a tool or a failed model?</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25</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are lessons from incidents and near misses fed back into controls and training?</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7. Board capability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26</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Does the board have enough AI understanding to challenge management, and how is that capability built and refreshed?</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27</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When does the board seek independent expertise on AI, and how is that input reported?</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28</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often should the full board, rather than a committee, discuss AI?</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29</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What information does the board want to see on AI each quarter, and in what form?</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30</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AI decisions should the board reserve for itself rather than delegate?</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2"/>
      </w:pPr>
      <w:r>
        <w:t xml:space="preserve">Notes</w:t>
      </w:r>
    </w:p>
    <w:p>
      <w:pPr>
        <w:pStyle w:val="Fine"/>
      </w:pPr>
      <w:r>
        <w:t xml:space="preserve">Adapt this template to your organization, jurisdiction and governing documents. It is a general resource, not legal advice. Review with counsel before adoption.</w:t>
      </w:r>
    </w:p>
    <w:sectPr>
      <w:footerReference w:type="default" r:id="rId7"/>
      <w:pgSz w:w="12240" w:h="15840" w:orient="portrait"/>
      <w:pgMar w:top="1440" w:right="1440" w:bottom="1440" w:left="1440"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pBdr>
        <w:top w:val="single" w:color="D9D2C5" w:sz="4" w:space="6"/>
      </w:pBdr>
      <w:tabs>
        <w:tab w:val="right" w:pos="9360"/>
      </w:tabs>
    </w:pPr>
    <w:r>
      <w:t xml:space="preserve">Prepared by Jacob James Kahn · jacobjameskahn.net · Review with counsel before adoption.</w:t>
    </w:r>
    <w: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73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80"/>
    </w:pPr>
    <w:rPr>
      <w:rFonts w:ascii="Georgia" w:cs="Georgia" w:eastAsia="Georgia" w:hAnsi="Georgia"/>
      <w:b/>
      <w:bCs/>
      <w:color w:val="24324A"/>
      <w:sz w:val="44"/>
      <w:szCs w:val="44"/>
    </w:rPr>
  </w:style>
  <w:style w:type="paragraph" w:styleId="Heading1">
    <w:name w:val="Heading 1"/>
    <w:basedOn w:val="Normal"/>
    <w:next w:val="Normal"/>
    <w:qFormat/>
    <w:pPr>
      <w:keepNext/>
      <w:spacing w:after="120" w:before="320"/>
      <w:outlineLvl w:val="0"/>
    </w:pPr>
    <w:rPr>
      <w:rFonts w:ascii="Georgia" w:cs="Georgia" w:eastAsia="Georgia" w:hAnsi="Georgia"/>
      <w:b/>
      <w:bCs/>
      <w:color w:val="24324A"/>
      <w:sz w:val="28"/>
      <w:szCs w:val="28"/>
    </w:rPr>
  </w:style>
  <w:style w:type="paragraph" w:styleId="Heading2">
    <w:name w:val="Heading 2"/>
    <w:basedOn w:val="Normal"/>
    <w:next w:val="Normal"/>
    <w:qFormat/>
    <w:pPr>
      <w:keepNext/>
      <w:spacing w:after="100" w:before="240"/>
      <w:outlineLvl w:val="1"/>
    </w:pPr>
    <w:rPr>
      <w:rFonts w:ascii="Georgia" w:cs="Georgia" w:eastAsia="Georgia" w:hAnsi="Georgia"/>
      <w:b/>
      <w:bCs/>
      <w:color w:val="24324A"/>
      <w:sz w:val="24"/>
      <w:szCs w:val="24"/>
    </w:rPr>
  </w:style>
  <w:style w:type="paragraph" w:styleId="Heading3">
    <w:name w:val="Heading 3"/>
    <w:basedOn w:val="Normal"/>
    <w:next w:val="Normal"/>
    <w:qFormat/>
    <w:pPr>
      <w:keepNext/>
      <w:spacing w:after="60" w:before="160"/>
      <w:outlineLvl w:val="2"/>
    </w:pPr>
    <w:rPr>
      <w:rFonts w:ascii="Calibri" w:cs="Calibri" w:eastAsia="Calibri" w:hAnsi="Calibri"/>
      <w:b/>
      <w:bCs/>
      <w:color w:val="7D5309"/>
      <w:sz w:val="22"/>
      <w:szCs w:val="22"/>
    </w:rPr>
  </w:style>
  <w:style w:type="paragraph" w:styleId="Kicker">
    <w:name w:val="Kicker"/>
    <w:basedOn w:val="Normal"/>
    <w:pPr>
      <w:spacing w:after="120"/>
    </w:pPr>
    <w:rPr>
      <w:rFonts w:ascii="Calibri" w:cs="Calibri" w:eastAsia="Calibri" w:hAnsi="Calibri"/>
      <w:b/>
      <w:bCs/>
      <w:color w:val="7D5309"/>
      <w:spacing w:val="20"/>
      <w:sz w:val="17"/>
      <w:szCs w:val="17"/>
    </w:rPr>
  </w:style>
  <w:style w:type="paragraph" w:styleId="Meta">
    <w:name w:val="Meta"/>
    <w:basedOn w:val="Normal"/>
    <w:pPr>
      <w:spacing w:after="240"/>
    </w:pPr>
    <w:rPr>
      <w:rFonts w:ascii="Calibri" w:cs="Calibri" w:eastAsia="Calibri" w:hAnsi="Calibri"/>
      <w:color w:val="5D6676"/>
      <w:sz w:val="18"/>
      <w:szCs w:val="18"/>
    </w:rPr>
  </w:style>
  <w:style w:type="paragraph" w:styleId="Body">
    <w:name w:val="Body"/>
    <w:basedOn w:val="Normal"/>
    <w:pPr>
      <w:spacing w:after="120" w:line="288"/>
    </w:pPr>
    <w:rPr>
      <w:rFonts w:ascii="Calibri" w:cs="Calibri" w:eastAsia="Calibri" w:hAnsi="Calibri"/>
      <w:sz w:val="21"/>
      <w:szCs w:val="21"/>
    </w:rPr>
  </w:style>
  <w:style w:type="paragraph" w:styleId="Cell">
    <w:name w:val="Cell"/>
    <w:basedOn w:val="Normal"/>
    <w:pPr>
      <w:spacing w:after="0" w:line="264"/>
    </w:pPr>
    <w:rPr>
      <w:rFonts w:ascii="Calibri" w:cs="Calibri" w:eastAsia="Calibri" w:hAnsi="Calibri"/>
      <w:sz w:val="20"/>
      <w:szCs w:val="20"/>
    </w:rPr>
  </w:style>
  <w:style w:type="paragraph" w:styleId="Fine">
    <w:name w:val="Fine"/>
    <w:basedOn w:val="Normal"/>
    <w:pPr>
      <w:spacing w:after="80"/>
    </w:pPr>
    <w:rPr>
      <w:rFonts w:ascii="Calibri" w:cs="Calibri" w:eastAsia="Calibri" w:hAnsi="Calibri"/>
      <w:i/>
      <w:iCs/>
      <w:color w:val="5D6676"/>
      <w:sz w:val="18"/>
      <w:szCs w:val="18"/>
    </w:rPr>
  </w:style>
  <w:style w:type="paragraph" w:styleId="FooterText">
    <w:name w:val="Footer Text"/>
    <w:basedOn w:val="Normal"/>
    <w:rPr>
      <w:rFonts w:ascii="Calibri" w:cs="Calibri" w:eastAsia="Calibri" w:hAnsi="Calibri"/>
      <w:color w:val="5D6676"/>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Oversight: Questions for the Board</dc:title>
  <dc:subject>Governance Toolkit</dc:subject>
  <dc:creator>Jacob James Kahn</dc:creator>
  <cp:keywords>board governance, ai and technology oversight</cp:keywords>
  <dc:description>Thirty questions a board can use to oversee how the company uses AI, from strategy and accountability to incidents and board capability.</dc:description>
  <cp:lastModifiedBy>Jacob James Kahn</cp:lastModifiedBy>
  <cp:revision>1</cp:revision>
  <dcterms:created xsi:type="dcterms:W3CDTF">2026-10-07T23:02:42.374Z</dcterms:created>
  <dcterms:modified xsi:type="dcterms:W3CDTF">2026-10-07T23:02:42.374Z</dcterms:modified>
</cp:coreProperties>
</file>

<file path=docProps/custom.xml><?xml version="1.0" encoding="utf-8"?>
<Properties xmlns="http://schemas.openxmlformats.org/officeDocument/2006/custom-properties" xmlns:vt="http://schemas.openxmlformats.org/officeDocument/2006/docPropsVTypes"/>
</file>