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oter1.xml" ContentType="application/vnd.openxmlformats-officedocument.wordprocessingml.footer+xml"/>
  <Override PartName="/word/settings.xml" ContentType="application/vnd.openxmlformats-officedocument.wordprocessingml.settings+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w:body>
    <w:p>
      <w:pPr>
        <w:pStyle w:val="Kicker"/>
      </w:pPr>
      <w:r>
        <w:t xml:space="preserve">GOVERNANCE TOOLKIT · PRIVATE CAPITAL AND PRIVATE COMPANY GOVERNANCE</w:t>
      </w:r>
    </w:p>
    <w:p>
      <w:pPr>
        <w:pStyle w:val="Title"/>
      </w:pPr>
      <w:r>
        <w:t xml:space="preserve">100-Day Systems Roadmap Oversight</w:t>
      </w:r>
    </w:p>
    <w:p>
      <w:pPr>
        <w:pStyle w:val="Meta"/>
      </w:pPr>
      <w:r>
        <w:t xml:space="preserve">Version 1.0 · Last updated October 7, 2026 · Prepared by Jacob James Kahn</w:t>
      </w:r>
    </w:p>
    <w:p>
      <w:pPr>
        <w:pStyle w:val="Body"/>
      </w:pPr>
      <w:r>
        <w:t xml:space="preserve">Systems changes are often central to the value-creation plan in a private equity hold period, and they are where financial controls and reporting are most exposed. This template gives a sponsor-backed board a structured view of the systems roadmap in the first 100 days: what the critical systems are, what will change, where controls and data are at risk, how the board will be kept informed, and what must be true before each major change goes live.</w:t>
      </w:r>
    </w:p>
    <w:p>
      <w:pPr>
        <w:pStyle w:val="Heading2"/>
      </w:pPr>
      <w:r>
        <w:t xml:space="preserve">How to use this document</w:t>
      </w:r>
    </w:p>
    <w:p>
      <w:pPr>
        <w:pStyle w:val="Body"/>
        <w:numPr>
          <w:ilvl w:val="0"/>
          <w:numId w:val="1"/>
        </w:numPr>
      </w:pPr>
      <w:r>
        <w:t xml:space="preserve">Ask management to complete sections 1 to 4 before the first full board meeting after closing.</w:t>
      </w:r>
    </w:p>
    <w:p>
      <w:pPr>
        <w:pStyle w:val="Body"/>
        <w:numPr>
          <w:ilvl w:val="0"/>
          <w:numId w:val="1"/>
        </w:numPr>
      </w:pPr>
      <w:r>
        <w:t xml:space="preserve">Agree the reporting cadence, gates and KPIs in sections 5 to 7 at that meeting.</w:t>
      </w:r>
    </w:p>
    <w:p>
      <w:pPr>
        <w:pStyle w:val="Body"/>
        <w:numPr>
          <w:ilvl w:val="0"/>
          <w:numId w:val="1"/>
        </w:numPr>
      </w:pPr>
      <w:r>
        <w:t xml:space="preserve">Revisit the template at day 100 and at each major go/no-go decision.</w:t>
      </w:r>
    </w:p>
    <w:p>
      <w:pPr>
        <w:pStyle w:val="Heading1"/>
        <w:keepNext/>
      </w:pPr>
      <w:r>
        <w:t xml:space="preserve">1. Critical systems inventory</w:t>
      </w:r>
    </w:p>
    <w:tbl>
      <w:tblPr>
        <w:tblW w:w="9360" w:type="dxa"/>
        <w:tblBorders>
          <w:top w:val="single" w:sz="4" w:space="0" w:color="D9D3C7"/>
          <w:left w:val="single" w:sz="4" w:space="0" w:color="D9D3C7"/>
          <w:bottom w:val="single" w:sz="4" w:space="0" w:color="D9D3C7"/>
          <w:right w:val="single" w:sz="4" w:space="0" w:color="D9D3C7"/>
          <w:insideH w:val="single" w:sz="4" w:space="0" w:color="D9D3C7"/>
          <w:insideV w:val="single" w:sz="4" w:space="0" w:color="D9D3C7"/>
        </w:tblBorders>
        <w:tblLayout w:type="fixed"/>
        <w:tblCellMar>
          <w:top w:w="70" w:type="dxa"/>
          <w:left w:w="100" w:type="dxa"/>
          <w:bottom w:w="70" w:type="dxa"/>
          <w:right w:w="100" w:type="dxa"/>
        </w:tblCellMar>
      </w:tblPr>
      <w:tblGrid>
        <w:gridCol w:w="1900"/>
        <w:gridCol w:w="2200"/>
        <w:gridCol w:w="1400"/>
        <w:gridCol w:w="2160"/>
        <w:gridCol w:w="1700"/>
      </w:tblGrid>
      <w:tr>
        <w:trPr>
          <w:cantSplit/>
          <w:tblHeader/>
        </w:trPr>
        <w:tc>
          <w:tcPr>
            <w:tcW w:w="1900" w:type="dxa"/>
            <w:shd w:val="clear" w:color="auto" w:fill="F3EDE2"/>
            <w:vAlign w:val="top"/>
          </w:tcPr>
          <w:p>
            <w:pPr>
              <w:pStyle w:val="Cell"/>
            </w:pPr>
            <w:r>
              <w:rPr>
                <w:b/>
                <w:color w:val="24324A"/>
              </w:rPr>
              <w:t xml:space="preserve">System</w:t>
            </w:r>
          </w:p>
        </w:tc>
        <w:tc>
          <w:tcPr>
            <w:tcW w:w="2200" w:type="dxa"/>
            <w:shd w:val="clear" w:color="auto" w:fill="F3EDE2"/>
            <w:vAlign w:val="top"/>
          </w:tcPr>
          <w:p>
            <w:pPr>
              <w:pStyle w:val="Cell"/>
            </w:pPr>
            <w:r>
              <w:rPr>
                <w:b/>
                <w:color w:val="24324A"/>
              </w:rPr>
              <w:t xml:space="preserve">Business process supported</w:t>
            </w:r>
          </w:p>
        </w:tc>
        <w:tc>
          <w:tcPr>
            <w:tcW w:w="1400" w:type="dxa"/>
            <w:shd w:val="clear" w:color="auto" w:fill="F3EDE2"/>
            <w:vAlign w:val="top"/>
          </w:tcPr>
          <w:p>
            <w:pPr>
              <w:pStyle w:val="Cell"/>
            </w:pPr>
            <w:r>
              <w:rPr>
                <w:b/>
                <w:color w:val="24324A"/>
              </w:rPr>
              <w:t xml:space="preserve">Owner</w:t>
            </w:r>
          </w:p>
        </w:tc>
        <w:tc>
          <w:tcPr>
            <w:tcW w:w="2160" w:type="dxa"/>
            <w:shd w:val="clear" w:color="auto" w:fill="F3EDE2"/>
            <w:vAlign w:val="top"/>
          </w:tcPr>
          <w:p>
            <w:pPr>
              <w:pStyle w:val="Cell"/>
            </w:pPr>
            <w:r>
              <w:rPr>
                <w:b/>
                <w:color w:val="24324A"/>
              </w:rPr>
              <w:t xml:space="preserve">Planned change</w:t>
            </w:r>
          </w:p>
        </w:tc>
        <w:tc>
          <w:tcPr>
            <w:tcW w:w="1700" w:type="dxa"/>
            <w:shd w:val="clear" w:color="auto" w:fill="F3EDE2"/>
            <w:vAlign w:val="top"/>
          </w:tcPr>
          <w:p>
            <w:pPr>
              <w:pStyle w:val="Cell"/>
            </w:pPr>
            <w:r>
              <w:rPr>
                <w:b/>
                <w:color w:val="24324A"/>
              </w:rPr>
              <w:t xml:space="preserve">Controls exposure (H/M/L)</w:t>
            </w:r>
          </w:p>
        </w:tc>
      </w:tr>
      <w:tr>
        <w:trPr>
          <w:cantSplit/>
          <w:trHeight w:val="460" w:hRule="atLeast"/>
        </w:trPr>
        <w:tc>
          <w:tcPr>
            <w:tcW w:w="1900" w:type="dxa"/>
            <w:vAlign w:val="top"/>
          </w:tcPr>
          <w:p>
            <w:pPr>
              <w:pStyle w:val="Cell"/>
            </w:pPr>
          </w:p>
        </w:tc>
        <w:tc>
          <w:tcPr>
            <w:tcW w:w="2200" w:type="dxa"/>
            <w:vAlign w:val="top"/>
          </w:tcPr>
          <w:p>
            <w:pPr>
              <w:pStyle w:val="Cell"/>
            </w:pPr>
          </w:p>
        </w:tc>
        <w:tc>
          <w:tcPr>
            <w:tcW w:w="1400" w:type="dxa"/>
            <w:vAlign w:val="top"/>
          </w:tcPr>
          <w:p>
            <w:pPr>
              <w:pStyle w:val="Cell"/>
            </w:pPr>
          </w:p>
        </w:tc>
        <w:tc>
          <w:tcPr>
            <w:tcW w:w="2160" w:type="dxa"/>
            <w:vAlign w:val="top"/>
          </w:tcPr>
          <w:p>
            <w:pPr>
              <w:pStyle w:val="Cell"/>
            </w:pPr>
          </w:p>
        </w:tc>
        <w:tc>
          <w:tcPr>
            <w:tcW w:w="1700" w:type="dxa"/>
            <w:vAlign w:val="top"/>
          </w:tcPr>
          <w:p>
            <w:pPr>
              <w:pStyle w:val="Cell"/>
            </w:pPr>
          </w:p>
        </w:tc>
      </w:tr>
      <w:tr>
        <w:trPr>
          <w:cantSplit/>
          <w:trHeight w:val="460" w:hRule="atLeast"/>
        </w:trPr>
        <w:tc>
          <w:tcPr>
            <w:tcW w:w="1900" w:type="dxa"/>
            <w:vAlign w:val="top"/>
          </w:tcPr>
          <w:p>
            <w:pPr>
              <w:pStyle w:val="Cell"/>
            </w:pPr>
          </w:p>
        </w:tc>
        <w:tc>
          <w:tcPr>
            <w:tcW w:w="2200" w:type="dxa"/>
            <w:vAlign w:val="top"/>
          </w:tcPr>
          <w:p>
            <w:pPr>
              <w:pStyle w:val="Cell"/>
            </w:pPr>
          </w:p>
        </w:tc>
        <w:tc>
          <w:tcPr>
            <w:tcW w:w="1400" w:type="dxa"/>
            <w:vAlign w:val="top"/>
          </w:tcPr>
          <w:p>
            <w:pPr>
              <w:pStyle w:val="Cell"/>
            </w:pPr>
          </w:p>
        </w:tc>
        <w:tc>
          <w:tcPr>
            <w:tcW w:w="2160" w:type="dxa"/>
            <w:vAlign w:val="top"/>
          </w:tcPr>
          <w:p>
            <w:pPr>
              <w:pStyle w:val="Cell"/>
            </w:pPr>
          </w:p>
        </w:tc>
        <w:tc>
          <w:tcPr>
            <w:tcW w:w="1700" w:type="dxa"/>
            <w:vAlign w:val="top"/>
          </w:tcPr>
          <w:p>
            <w:pPr>
              <w:pStyle w:val="Cell"/>
            </w:pPr>
          </w:p>
        </w:tc>
      </w:tr>
      <w:tr>
        <w:trPr>
          <w:cantSplit/>
          <w:trHeight w:val="460" w:hRule="atLeast"/>
        </w:trPr>
        <w:tc>
          <w:tcPr>
            <w:tcW w:w="1900" w:type="dxa"/>
            <w:vAlign w:val="top"/>
          </w:tcPr>
          <w:p>
            <w:pPr>
              <w:pStyle w:val="Cell"/>
            </w:pPr>
          </w:p>
        </w:tc>
        <w:tc>
          <w:tcPr>
            <w:tcW w:w="2200" w:type="dxa"/>
            <w:vAlign w:val="top"/>
          </w:tcPr>
          <w:p>
            <w:pPr>
              <w:pStyle w:val="Cell"/>
            </w:pPr>
          </w:p>
        </w:tc>
        <w:tc>
          <w:tcPr>
            <w:tcW w:w="1400" w:type="dxa"/>
            <w:vAlign w:val="top"/>
          </w:tcPr>
          <w:p>
            <w:pPr>
              <w:pStyle w:val="Cell"/>
            </w:pPr>
          </w:p>
        </w:tc>
        <w:tc>
          <w:tcPr>
            <w:tcW w:w="2160" w:type="dxa"/>
            <w:vAlign w:val="top"/>
          </w:tcPr>
          <w:p>
            <w:pPr>
              <w:pStyle w:val="Cell"/>
            </w:pPr>
          </w:p>
        </w:tc>
        <w:tc>
          <w:tcPr>
            <w:tcW w:w="1700" w:type="dxa"/>
            <w:vAlign w:val="top"/>
          </w:tcPr>
          <w:p>
            <w:pPr>
              <w:pStyle w:val="Cell"/>
            </w:pPr>
          </w:p>
        </w:tc>
      </w:tr>
      <w:tr>
        <w:trPr>
          <w:cantSplit/>
          <w:trHeight w:val="460" w:hRule="atLeast"/>
        </w:trPr>
        <w:tc>
          <w:tcPr>
            <w:tcW w:w="1900" w:type="dxa"/>
            <w:vAlign w:val="top"/>
          </w:tcPr>
          <w:p>
            <w:pPr>
              <w:pStyle w:val="Cell"/>
            </w:pPr>
          </w:p>
        </w:tc>
        <w:tc>
          <w:tcPr>
            <w:tcW w:w="2200" w:type="dxa"/>
            <w:vAlign w:val="top"/>
          </w:tcPr>
          <w:p>
            <w:pPr>
              <w:pStyle w:val="Cell"/>
            </w:pPr>
          </w:p>
        </w:tc>
        <w:tc>
          <w:tcPr>
            <w:tcW w:w="1400" w:type="dxa"/>
            <w:vAlign w:val="top"/>
          </w:tcPr>
          <w:p>
            <w:pPr>
              <w:pStyle w:val="Cell"/>
            </w:pPr>
          </w:p>
        </w:tc>
        <w:tc>
          <w:tcPr>
            <w:tcW w:w="2160" w:type="dxa"/>
            <w:vAlign w:val="top"/>
          </w:tcPr>
          <w:p>
            <w:pPr>
              <w:pStyle w:val="Cell"/>
            </w:pPr>
          </w:p>
        </w:tc>
        <w:tc>
          <w:tcPr>
            <w:tcW w:w="1700" w:type="dxa"/>
            <w:vAlign w:val="top"/>
          </w:tcPr>
          <w:p>
            <w:pPr>
              <w:pStyle w:val="Cell"/>
            </w:pPr>
          </w:p>
        </w:tc>
      </w:tr>
      <w:tr>
        <w:trPr>
          <w:cantSplit/>
          <w:trHeight w:val="460" w:hRule="atLeast"/>
        </w:trPr>
        <w:tc>
          <w:tcPr>
            <w:tcW w:w="1900" w:type="dxa"/>
            <w:vAlign w:val="top"/>
          </w:tcPr>
          <w:p>
            <w:pPr>
              <w:pStyle w:val="Cell"/>
            </w:pPr>
          </w:p>
        </w:tc>
        <w:tc>
          <w:tcPr>
            <w:tcW w:w="2200" w:type="dxa"/>
            <w:vAlign w:val="top"/>
          </w:tcPr>
          <w:p>
            <w:pPr>
              <w:pStyle w:val="Cell"/>
            </w:pPr>
          </w:p>
        </w:tc>
        <w:tc>
          <w:tcPr>
            <w:tcW w:w="1400" w:type="dxa"/>
            <w:vAlign w:val="top"/>
          </w:tcPr>
          <w:p>
            <w:pPr>
              <w:pStyle w:val="Cell"/>
            </w:pPr>
          </w:p>
        </w:tc>
        <w:tc>
          <w:tcPr>
            <w:tcW w:w="2160" w:type="dxa"/>
            <w:vAlign w:val="top"/>
          </w:tcPr>
          <w:p>
            <w:pPr>
              <w:pStyle w:val="Cell"/>
            </w:pPr>
          </w:p>
        </w:tc>
        <w:tc>
          <w:tcPr>
            <w:tcW w:w="1700" w:type="dxa"/>
            <w:vAlign w:val="top"/>
          </w:tcPr>
          <w:p>
            <w:pPr>
              <w:pStyle w:val="Cell"/>
            </w:pPr>
          </w:p>
        </w:tc>
      </w:tr>
      <w:tr>
        <w:trPr>
          <w:cantSplit/>
          <w:trHeight w:val="460" w:hRule="atLeast"/>
        </w:trPr>
        <w:tc>
          <w:tcPr>
            <w:tcW w:w="1900" w:type="dxa"/>
            <w:vAlign w:val="top"/>
          </w:tcPr>
          <w:p>
            <w:pPr>
              <w:pStyle w:val="Cell"/>
            </w:pPr>
          </w:p>
        </w:tc>
        <w:tc>
          <w:tcPr>
            <w:tcW w:w="2200" w:type="dxa"/>
            <w:vAlign w:val="top"/>
          </w:tcPr>
          <w:p>
            <w:pPr>
              <w:pStyle w:val="Cell"/>
            </w:pPr>
          </w:p>
        </w:tc>
        <w:tc>
          <w:tcPr>
            <w:tcW w:w="1400" w:type="dxa"/>
            <w:vAlign w:val="top"/>
          </w:tcPr>
          <w:p>
            <w:pPr>
              <w:pStyle w:val="Cell"/>
            </w:pPr>
          </w:p>
        </w:tc>
        <w:tc>
          <w:tcPr>
            <w:tcW w:w="2160" w:type="dxa"/>
            <w:vAlign w:val="top"/>
          </w:tcPr>
          <w:p>
            <w:pPr>
              <w:pStyle w:val="Cell"/>
            </w:pPr>
          </w:p>
        </w:tc>
        <w:tc>
          <w:tcPr>
            <w:tcW w:w="1700" w:type="dxa"/>
            <w:vAlign w:val="top"/>
          </w:tcPr>
          <w:p>
            <w:pPr>
              <w:pStyle w:val="Cell"/>
            </w:pPr>
          </w:p>
        </w:tc>
      </w:tr>
    </w:tbl>
    <w:p>
      <w:pPr>
        <w:pStyle w:val="Meta"/>
      </w:pPr>
      <w:r>
        <w:t xml:space="preserve">Add rows as needed. H/M/L = high, medium or low exposure of key financial controls to the change.</w:t>
      </w:r>
    </w:p>
    <w:p>
      <w:pPr>
        <w:pStyle w:val="Heading1"/>
        <w:keepNext/>
      </w:pPr>
      <w:r>
        <w:t xml:space="preserve">2. Planned changes in the hold period</w:t>
      </w:r>
    </w:p>
    <w:tbl>
      <w:tblPr>
        <w:tblW w:w="9360" w:type="dxa"/>
        <w:tblBorders>
          <w:top w:val="single" w:sz="4" w:space="0" w:color="D9D3C7"/>
          <w:left w:val="single" w:sz="4" w:space="0" w:color="D9D3C7"/>
          <w:bottom w:val="single" w:sz="4" w:space="0" w:color="D9D3C7"/>
          <w:right w:val="single" w:sz="4" w:space="0" w:color="D9D3C7"/>
          <w:insideH w:val="single" w:sz="4" w:space="0" w:color="D9D3C7"/>
          <w:insideV w:val="single" w:sz="4" w:space="0" w:color="D9D3C7"/>
        </w:tblBorders>
        <w:tblLayout w:type="fixed"/>
        <w:tblCellMar>
          <w:top w:w="70" w:type="dxa"/>
          <w:left w:w="100" w:type="dxa"/>
          <w:bottom w:w="70" w:type="dxa"/>
          <w:right w:w="100" w:type="dxa"/>
        </w:tblCellMar>
      </w:tblPr>
      <w:tblGrid>
        <w:gridCol w:w="600"/>
        <w:gridCol w:w="6560"/>
        <w:gridCol w:w="2200"/>
      </w:tblGrid>
      <w:tr>
        <w:trPr>
          <w:cantSplit/>
          <w:tblHeader/>
        </w:trPr>
        <w:tc>
          <w:tcPr>
            <w:tcW w:w="600" w:type="dxa"/>
            <w:shd w:val="clear" w:color="auto" w:fill="F3EDE2"/>
            <w:vAlign w:val="top"/>
          </w:tcPr>
          <w:p>
            <w:pPr>
              <w:pStyle w:val="Cell"/>
              <w:jc w:val="center"/>
            </w:pPr>
            <w:r>
              <w:rPr>
                <w:b/>
                <w:color w:val="24324A"/>
              </w:rPr>
              <w:t xml:space="preserve">#</w:t>
            </w:r>
          </w:p>
        </w:tc>
        <w:tc>
          <w:tcPr>
            <w:tcW w:w="6560" w:type="dxa"/>
            <w:shd w:val="clear" w:color="auto" w:fill="F3EDE2"/>
            <w:vAlign w:val="top"/>
          </w:tcPr>
          <w:p>
            <w:pPr>
              <w:pStyle w:val="Cell"/>
            </w:pPr>
            <w:r>
              <w:rPr>
                <w:b/>
                <w:color w:val="24324A"/>
              </w:rPr>
              <w:t xml:space="preserve">Item</w:t>
            </w:r>
          </w:p>
        </w:tc>
        <w:tc>
          <w:tcPr>
            <w:tcW w:w="2200" w:type="dxa"/>
            <w:shd w:val="clear" w:color="auto" w:fill="F3EDE2"/>
            <w:vAlign w:val="top"/>
          </w:tcPr>
          <w:p>
            <w:pPr>
              <w:pStyle w:val="Cell"/>
            </w:pPr>
            <w:r>
              <w:rPr>
                <w:b/>
                <w:color w:val="24324A"/>
              </w:rPr>
              <w:t xml:space="preserve">Status / owner</w:t>
            </w:r>
          </w:p>
        </w:tc>
      </w:tr>
      <w:tr>
        <w:trPr>
          <w:cantSplit/>
        </w:trPr>
        <w:tc>
          <w:tcPr>
            <w:tcW w:w="600" w:type="dxa"/>
            <w:vAlign w:val="top"/>
          </w:tcPr>
          <w:p>
            <w:pPr>
              <w:pStyle w:val="Cell"/>
              <w:jc w:val="center"/>
            </w:pPr>
            <w:r>
              <w:t xml:space="preserve">1</w:t>
            </w:r>
          </w:p>
        </w:tc>
        <w:tc>
          <w:tcPr>
            <w:tcW w:w="6560" w:type="dxa"/>
            <w:vAlign w:val="top"/>
          </w:tcPr>
          <w:p>
            <w:pPr>
              <w:pStyle w:val="Cell"/>
            </w:pPr>
            <w:r>
              <w:t xml:space="preserve">Each planned system change is tied to a specific part of the value-creation plan.</w:t>
            </w:r>
          </w:p>
        </w:tc>
        <w:tc>
          <w:tcPr>
            <w:tcW w:w="2200" w:type="dxa"/>
            <w:vAlign w:val="top"/>
          </w:tcPr>
          <w:p>
            <w:pPr>
              <w:pStyle w:val="Cell"/>
            </w:pPr>
            <w:r>
              <w:rPr>
                <w:sz w:val="18"/>
              </w:rPr>
              <w:t xml:space="preserve">☐ In place   ☐ Action</w:t>
            </w:r>
          </w:p>
        </w:tc>
      </w:tr>
      <w:tr>
        <w:trPr>
          <w:cantSplit/>
        </w:trPr>
        <w:tc>
          <w:tcPr>
            <w:tcW w:w="600" w:type="dxa"/>
            <w:vAlign w:val="top"/>
          </w:tcPr>
          <w:p>
            <w:pPr>
              <w:pStyle w:val="Cell"/>
              <w:jc w:val="center"/>
            </w:pPr>
            <w:r>
              <w:t xml:space="preserve">2</w:t>
            </w:r>
          </w:p>
        </w:tc>
        <w:tc>
          <w:tcPr>
            <w:tcW w:w="6560" w:type="dxa"/>
            <w:vAlign w:val="top"/>
          </w:tcPr>
          <w:p>
            <w:pPr>
              <w:pStyle w:val="Cell"/>
            </w:pPr>
            <w:r>
              <w:t xml:space="preserve">Sequence and dependencies between changes are documented, including what happens if one slips.</w:t>
            </w:r>
          </w:p>
        </w:tc>
        <w:tc>
          <w:tcPr>
            <w:tcW w:w="2200" w:type="dxa"/>
            <w:vAlign w:val="top"/>
          </w:tcPr>
          <w:p>
            <w:pPr>
              <w:pStyle w:val="Cell"/>
            </w:pPr>
            <w:r>
              <w:rPr>
                <w:sz w:val="18"/>
              </w:rPr>
              <w:t xml:space="preserve">☐ In place   ☐ Action</w:t>
            </w:r>
          </w:p>
        </w:tc>
      </w:tr>
      <w:tr>
        <w:trPr>
          <w:cantSplit/>
        </w:trPr>
        <w:tc>
          <w:tcPr>
            <w:tcW w:w="600" w:type="dxa"/>
            <w:vAlign w:val="top"/>
          </w:tcPr>
          <w:p>
            <w:pPr>
              <w:pStyle w:val="Cell"/>
              <w:jc w:val="center"/>
            </w:pPr>
            <w:r>
              <w:t xml:space="preserve">3</w:t>
            </w:r>
          </w:p>
        </w:tc>
        <w:tc>
          <w:tcPr>
            <w:tcW w:w="6560" w:type="dxa"/>
            <w:vAlign w:val="top"/>
          </w:tcPr>
          <w:p>
            <w:pPr>
              <w:pStyle w:val="Cell"/>
            </w:pPr>
            <w:r>
              <w:t xml:space="preserve">Budget, internal owner and external delivery partners are named for each change.</w:t>
            </w:r>
          </w:p>
        </w:tc>
        <w:tc>
          <w:tcPr>
            <w:tcW w:w="2200" w:type="dxa"/>
            <w:vAlign w:val="top"/>
          </w:tcPr>
          <w:p>
            <w:pPr>
              <w:pStyle w:val="Cell"/>
            </w:pPr>
            <w:r>
              <w:rPr>
                <w:sz w:val="18"/>
              </w:rPr>
              <w:t xml:space="preserve">☐ In place   ☐ Action</w:t>
            </w:r>
          </w:p>
        </w:tc>
      </w:tr>
      <w:tr>
        <w:trPr>
          <w:cantSplit/>
        </w:trPr>
        <w:tc>
          <w:tcPr>
            <w:tcW w:w="600" w:type="dxa"/>
            <w:vAlign w:val="top"/>
          </w:tcPr>
          <w:p>
            <w:pPr>
              <w:pStyle w:val="Cell"/>
              <w:jc w:val="center"/>
            </w:pPr>
            <w:r>
              <w:t xml:space="preserve">4</w:t>
            </w:r>
          </w:p>
        </w:tc>
        <w:tc>
          <w:tcPr>
            <w:tcW w:w="6560" w:type="dxa"/>
            <w:vAlign w:val="top"/>
          </w:tcPr>
          <w:p>
            <w:pPr>
              <w:pStyle w:val="Cell"/>
            </w:pPr>
            <w:r>
              <w:t xml:space="preserve">Changes that coincide with a quarter end, year end, audit or lender reporting date are identified.</w:t>
            </w:r>
          </w:p>
        </w:tc>
        <w:tc>
          <w:tcPr>
            <w:tcW w:w="2200" w:type="dxa"/>
            <w:vAlign w:val="top"/>
          </w:tcPr>
          <w:p>
            <w:pPr>
              <w:pStyle w:val="Cell"/>
            </w:pPr>
            <w:r>
              <w:rPr>
                <w:sz w:val="18"/>
              </w:rPr>
              <w:t xml:space="preserve">☐ In place   ☐ Action</w:t>
            </w:r>
          </w:p>
        </w:tc>
      </w:tr>
    </w:tbl>
    <w:p>
      <w:pPr>
        <w:pStyle w:val="Body"/>
      </w:pPr>
    </w:p>
    <w:p>
      <w:pPr>
        <w:pStyle w:val="Heading1"/>
        <w:keepNext/>
      </w:pPr>
      <w:r>
        <w:t xml:space="preserve">3. Controls exposure</w:t>
      </w:r>
    </w:p>
    <w:tbl>
      <w:tblPr>
        <w:tblW w:w="9360" w:type="dxa"/>
        <w:tblBorders>
          <w:top w:val="single" w:sz="4" w:space="0" w:color="D9D3C7"/>
          <w:left w:val="single" w:sz="4" w:space="0" w:color="D9D3C7"/>
          <w:bottom w:val="single" w:sz="4" w:space="0" w:color="D9D3C7"/>
          <w:right w:val="single" w:sz="4" w:space="0" w:color="D9D3C7"/>
          <w:insideH w:val="single" w:sz="4" w:space="0" w:color="D9D3C7"/>
          <w:insideV w:val="single" w:sz="4" w:space="0" w:color="D9D3C7"/>
        </w:tblBorders>
        <w:tblLayout w:type="fixed"/>
        <w:tblCellMar>
          <w:top w:w="70" w:type="dxa"/>
          <w:left w:w="100" w:type="dxa"/>
          <w:bottom w:w="70" w:type="dxa"/>
          <w:right w:w="100" w:type="dxa"/>
        </w:tblCellMar>
      </w:tblPr>
      <w:tblGrid>
        <w:gridCol w:w="600"/>
        <w:gridCol w:w="6560"/>
        <w:gridCol w:w="2200"/>
      </w:tblGrid>
      <w:tr>
        <w:trPr>
          <w:cantSplit/>
          <w:tblHeader/>
        </w:trPr>
        <w:tc>
          <w:tcPr>
            <w:tcW w:w="600" w:type="dxa"/>
            <w:shd w:val="clear" w:color="auto" w:fill="F3EDE2"/>
            <w:vAlign w:val="top"/>
          </w:tcPr>
          <w:p>
            <w:pPr>
              <w:pStyle w:val="Cell"/>
              <w:jc w:val="center"/>
            </w:pPr>
            <w:r>
              <w:rPr>
                <w:b/>
                <w:color w:val="24324A"/>
              </w:rPr>
              <w:t xml:space="preserve">#</w:t>
            </w:r>
          </w:p>
        </w:tc>
        <w:tc>
          <w:tcPr>
            <w:tcW w:w="6560" w:type="dxa"/>
            <w:shd w:val="clear" w:color="auto" w:fill="F3EDE2"/>
            <w:vAlign w:val="top"/>
          </w:tcPr>
          <w:p>
            <w:pPr>
              <w:pStyle w:val="Cell"/>
            </w:pPr>
            <w:r>
              <w:rPr>
                <w:b/>
                <w:color w:val="24324A"/>
              </w:rPr>
              <w:t xml:space="preserve">Item</w:t>
            </w:r>
          </w:p>
        </w:tc>
        <w:tc>
          <w:tcPr>
            <w:tcW w:w="2200" w:type="dxa"/>
            <w:shd w:val="clear" w:color="auto" w:fill="F3EDE2"/>
            <w:vAlign w:val="top"/>
          </w:tcPr>
          <w:p>
            <w:pPr>
              <w:pStyle w:val="Cell"/>
            </w:pPr>
            <w:r>
              <w:rPr>
                <w:b/>
                <w:color w:val="24324A"/>
              </w:rPr>
              <w:t xml:space="preserve">Status / owner</w:t>
            </w:r>
          </w:p>
        </w:tc>
      </w:tr>
      <w:tr>
        <w:trPr>
          <w:cantSplit/>
        </w:trPr>
        <w:tc>
          <w:tcPr>
            <w:tcW w:w="600" w:type="dxa"/>
            <w:vAlign w:val="top"/>
          </w:tcPr>
          <w:p>
            <w:pPr>
              <w:pStyle w:val="Cell"/>
              <w:jc w:val="center"/>
            </w:pPr>
            <w:r>
              <w:t xml:space="preserve">1</w:t>
            </w:r>
          </w:p>
        </w:tc>
        <w:tc>
          <w:tcPr>
            <w:tcW w:w="6560" w:type="dxa"/>
            <w:vAlign w:val="top"/>
          </w:tcPr>
          <w:p>
            <w:pPr>
              <w:pStyle w:val="Cell"/>
            </w:pPr>
            <w:r>
              <w:t xml:space="preserve">Key financial controls affected by each change are listed, with an owner through cutover.</w:t>
            </w:r>
          </w:p>
        </w:tc>
        <w:tc>
          <w:tcPr>
            <w:tcW w:w="2200" w:type="dxa"/>
            <w:vAlign w:val="top"/>
          </w:tcPr>
          <w:p>
            <w:pPr>
              <w:pStyle w:val="Cell"/>
            </w:pPr>
            <w:r>
              <w:rPr>
                <w:sz w:val="18"/>
              </w:rPr>
              <w:t xml:space="preserve">☐ In place   ☐ Action</w:t>
            </w:r>
          </w:p>
        </w:tc>
      </w:tr>
      <w:tr>
        <w:trPr>
          <w:cantSplit/>
        </w:trPr>
        <w:tc>
          <w:tcPr>
            <w:tcW w:w="600" w:type="dxa"/>
            <w:vAlign w:val="top"/>
          </w:tcPr>
          <w:p>
            <w:pPr>
              <w:pStyle w:val="Cell"/>
              <w:jc w:val="center"/>
            </w:pPr>
            <w:r>
              <w:t xml:space="preserve">2</w:t>
            </w:r>
          </w:p>
        </w:tc>
        <w:tc>
          <w:tcPr>
            <w:tcW w:w="6560" w:type="dxa"/>
            <w:vAlign w:val="top"/>
          </w:tcPr>
          <w:p>
            <w:pPr>
              <w:pStyle w:val="Cell"/>
            </w:pPr>
            <w:r>
              <w:t xml:space="preserve">Controls to be retired, redesigned or automated are mapped from the old process to the new one.</w:t>
            </w:r>
          </w:p>
        </w:tc>
        <w:tc>
          <w:tcPr>
            <w:tcW w:w="2200" w:type="dxa"/>
            <w:vAlign w:val="top"/>
          </w:tcPr>
          <w:p>
            <w:pPr>
              <w:pStyle w:val="Cell"/>
            </w:pPr>
            <w:r>
              <w:rPr>
                <w:sz w:val="18"/>
              </w:rPr>
              <w:t xml:space="preserve">☐ In place   ☐ Action</w:t>
            </w:r>
          </w:p>
        </w:tc>
      </w:tr>
      <w:tr>
        <w:trPr>
          <w:cantSplit/>
        </w:trPr>
        <w:tc>
          <w:tcPr>
            <w:tcW w:w="600" w:type="dxa"/>
            <w:vAlign w:val="top"/>
          </w:tcPr>
          <w:p>
            <w:pPr>
              <w:pStyle w:val="Cell"/>
              <w:jc w:val="center"/>
            </w:pPr>
            <w:r>
              <w:t xml:space="preserve">3</w:t>
            </w:r>
          </w:p>
        </w:tc>
        <w:tc>
          <w:tcPr>
            <w:tcW w:w="6560" w:type="dxa"/>
            <w:vAlign w:val="top"/>
          </w:tcPr>
          <w:p>
            <w:pPr>
              <w:pStyle w:val="Cell"/>
            </w:pPr>
            <w:r>
              <w:t xml:space="preserve">Temporary and elevated access during cutover is defined, approved and time-limited.</w:t>
            </w:r>
          </w:p>
        </w:tc>
        <w:tc>
          <w:tcPr>
            <w:tcW w:w="2200" w:type="dxa"/>
            <w:vAlign w:val="top"/>
          </w:tcPr>
          <w:p>
            <w:pPr>
              <w:pStyle w:val="Cell"/>
            </w:pPr>
            <w:r>
              <w:rPr>
                <w:sz w:val="18"/>
              </w:rPr>
              <w:t xml:space="preserve">☐ In place   ☐ Action</w:t>
            </w:r>
          </w:p>
        </w:tc>
      </w:tr>
      <w:tr>
        <w:trPr>
          <w:cantSplit/>
        </w:trPr>
        <w:tc>
          <w:tcPr>
            <w:tcW w:w="600" w:type="dxa"/>
            <w:vAlign w:val="top"/>
          </w:tcPr>
          <w:p>
            <w:pPr>
              <w:pStyle w:val="Cell"/>
              <w:jc w:val="center"/>
            </w:pPr>
            <w:r>
              <w:t xml:space="preserve">4</w:t>
            </w:r>
          </w:p>
        </w:tc>
        <w:tc>
          <w:tcPr>
            <w:tcW w:w="6560" w:type="dxa"/>
            <w:vAlign w:val="top"/>
          </w:tcPr>
          <w:p>
            <w:pPr>
              <w:pStyle w:val="Cell"/>
            </w:pPr>
            <w:r>
              <w:t xml:space="preserve">The external auditor has been told about significant changes and the timing of each.</w:t>
            </w:r>
          </w:p>
        </w:tc>
        <w:tc>
          <w:tcPr>
            <w:tcW w:w="2200" w:type="dxa"/>
            <w:vAlign w:val="top"/>
          </w:tcPr>
          <w:p>
            <w:pPr>
              <w:pStyle w:val="Cell"/>
            </w:pPr>
            <w:r>
              <w:rPr>
                <w:sz w:val="18"/>
              </w:rPr>
              <w:t xml:space="preserve">☐ In place   ☐ Action</w:t>
            </w:r>
          </w:p>
        </w:tc>
      </w:tr>
    </w:tbl>
    <w:p>
      <w:pPr>
        <w:pStyle w:val="Body"/>
      </w:pPr>
    </w:p>
    <w:p>
      <w:pPr>
        <w:pStyle w:val="Heading1"/>
        <w:keepNext/>
      </w:pPr>
      <w:r>
        <w:t xml:space="preserve">4. Data migration risks</w:t>
      </w:r>
    </w:p>
    <w:tbl>
      <w:tblPr>
        <w:tblW w:w="9360" w:type="dxa"/>
        <w:tblBorders>
          <w:top w:val="single" w:sz="4" w:space="0" w:color="D9D3C7"/>
          <w:left w:val="single" w:sz="4" w:space="0" w:color="D9D3C7"/>
          <w:bottom w:val="single" w:sz="4" w:space="0" w:color="D9D3C7"/>
          <w:right w:val="single" w:sz="4" w:space="0" w:color="D9D3C7"/>
          <w:insideH w:val="single" w:sz="4" w:space="0" w:color="D9D3C7"/>
          <w:insideV w:val="single" w:sz="4" w:space="0" w:color="D9D3C7"/>
        </w:tblBorders>
        <w:tblLayout w:type="fixed"/>
        <w:tblCellMar>
          <w:top w:w="70" w:type="dxa"/>
          <w:left w:w="100" w:type="dxa"/>
          <w:bottom w:w="70" w:type="dxa"/>
          <w:right w:w="100" w:type="dxa"/>
        </w:tblCellMar>
      </w:tblPr>
      <w:tblGrid>
        <w:gridCol w:w="600"/>
        <w:gridCol w:w="6560"/>
        <w:gridCol w:w="2200"/>
      </w:tblGrid>
      <w:tr>
        <w:trPr>
          <w:cantSplit/>
          <w:tblHeader/>
        </w:trPr>
        <w:tc>
          <w:tcPr>
            <w:tcW w:w="600" w:type="dxa"/>
            <w:shd w:val="clear" w:color="auto" w:fill="F3EDE2"/>
            <w:vAlign w:val="top"/>
          </w:tcPr>
          <w:p>
            <w:pPr>
              <w:pStyle w:val="Cell"/>
              <w:jc w:val="center"/>
            </w:pPr>
            <w:r>
              <w:rPr>
                <w:b/>
                <w:color w:val="24324A"/>
              </w:rPr>
              <w:t xml:space="preserve">#</w:t>
            </w:r>
          </w:p>
        </w:tc>
        <w:tc>
          <w:tcPr>
            <w:tcW w:w="6560" w:type="dxa"/>
            <w:shd w:val="clear" w:color="auto" w:fill="F3EDE2"/>
            <w:vAlign w:val="top"/>
          </w:tcPr>
          <w:p>
            <w:pPr>
              <w:pStyle w:val="Cell"/>
            </w:pPr>
            <w:r>
              <w:rPr>
                <w:b/>
                <w:color w:val="24324A"/>
              </w:rPr>
              <w:t xml:space="preserve">Item</w:t>
            </w:r>
          </w:p>
        </w:tc>
        <w:tc>
          <w:tcPr>
            <w:tcW w:w="2200" w:type="dxa"/>
            <w:shd w:val="clear" w:color="auto" w:fill="F3EDE2"/>
            <w:vAlign w:val="top"/>
          </w:tcPr>
          <w:p>
            <w:pPr>
              <w:pStyle w:val="Cell"/>
            </w:pPr>
            <w:r>
              <w:rPr>
                <w:b/>
                <w:color w:val="24324A"/>
              </w:rPr>
              <w:t xml:space="preserve">Status / owner</w:t>
            </w:r>
          </w:p>
        </w:tc>
      </w:tr>
      <w:tr>
        <w:trPr>
          <w:cantSplit/>
        </w:trPr>
        <w:tc>
          <w:tcPr>
            <w:tcW w:w="600" w:type="dxa"/>
            <w:vAlign w:val="top"/>
          </w:tcPr>
          <w:p>
            <w:pPr>
              <w:pStyle w:val="Cell"/>
              <w:jc w:val="center"/>
            </w:pPr>
            <w:r>
              <w:t xml:space="preserve">1</w:t>
            </w:r>
          </w:p>
        </w:tc>
        <w:tc>
          <w:tcPr>
            <w:tcW w:w="6560" w:type="dxa"/>
            <w:vAlign w:val="top"/>
          </w:tcPr>
          <w:p>
            <w:pPr>
              <w:pStyle w:val="Cell"/>
            </w:pPr>
            <w:r>
              <w:t xml:space="preserve">Data owners are named for each migrated data set (customers, vendors, items, open balances).</w:t>
            </w:r>
          </w:p>
        </w:tc>
        <w:tc>
          <w:tcPr>
            <w:tcW w:w="2200" w:type="dxa"/>
            <w:vAlign w:val="top"/>
          </w:tcPr>
          <w:p>
            <w:pPr>
              <w:pStyle w:val="Cell"/>
            </w:pPr>
            <w:r>
              <w:rPr>
                <w:sz w:val="18"/>
              </w:rPr>
              <w:t xml:space="preserve">☐ In place   ☐ Action</w:t>
            </w:r>
          </w:p>
        </w:tc>
      </w:tr>
      <w:tr>
        <w:trPr>
          <w:cantSplit/>
        </w:trPr>
        <w:tc>
          <w:tcPr>
            <w:tcW w:w="600" w:type="dxa"/>
            <w:vAlign w:val="top"/>
          </w:tcPr>
          <w:p>
            <w:pPr>
              <w:pStyle w:val="Cell"/>
              <w:jc w:val="center"/>
            </w:pPr>
            <w:r>
              <w:t xml:space="preserve">2</w:t>
            </w:r>
          </w:p>
        </w:tc>
        <w:tc>
          <w:tcPr>
            <w:tcW w:w="6560" w:type="dxa"/>
            <w:vAlign w:val="top"/>
          </w:tcPr>
          <w:p>
            <w:pPr>
              <w:pStyle w:val="Cell"/>
            </w:pPr>
            <w:r>
              <w:t xml:space="preserve">Mock conversions are planned, with reconciliation results reported to the board or a committee.</w:t>
            </w:r>
          </w:p>
        </w:tc>
        <w:tc>
          <w:tcPr>
            <w:tcW w:w="2200" w:type="dxa"/>
            <w:vAlign w:val="top"/>
          </w:tcPr>
          <w:p>
            <w:pPr>
              <w:pStyle w:val="Cell"/>
            </w:pPr>
            <w:r>
              <w:rPr>
                <w:sz w:val="18"/>
              </w:rPr>
              <w:t xml:space="preserve">☐ In place   ☐ Action</w:t>
            </w:r>
          </w:p>
        </w:tc>
      </w:tr>
      <w:tr>
        <w:trPr>
          <w:cantSplit/>
        </w:trPr>
        <w:tc>
          <w:tcPr>
            <w:tcW w:w="600" w:type="dxa"/>
            <w:vAlign w:val="top"/>
          </w:tcPr>
          <w:p>
            <w:pPr>
              <w:pStyle w:val="Cell"/>
              <w:jc w:val="center"/>
            </w:pPr>
            <w:r>
              <w:t xml:space="preserve">3</w:t>
            </w:r>
          </w:p>
        </w:tc>
        <w:tc>
          <w:tcPr>
            <w:tcW w:w="6560" w:type="dxa"/>
            <w:vAlign w:val="top"/>
          </w:tcPr>
          <w:p>
            <w:pPr>
              <w:pStyle w:val="Cell"/>
            </w:pPr>
            <w:r>
              <w:t xml:space="preserve">Cleansing decisions that change reported balances are approved by finance.</w:t>
            </w:r>
          </w:p>
        </w:tc>
        <w:tc>
          <w:tcPr>
            <w:tcW w:w="2200" w:type="dxa"/>
            <w:vAlign w:val="top"/>
          </w:tcPr>
          <w:p>
            <w:pPr>
              <w:pStyle w:val="Cell"/>
            </w:pPr>
            <w:r>
              <w:rPr>
                <w:sz w:val="18"/>
              </w:rPr>
              <w:t xml:space="preserve">☐ In place   ☐ Action</w:t>
            </w:r>
          </w:p>
        </w:tc>
      </w:tr>
      <w:tr>
        <w:trPr>
          <w:cantSplit/>
        </w:trPr>
        <w:tc>
          <w:tcPr>
            <w:tcW w:w="600" w:type="dxa"/>
            <w:vAlign w:val="top"/>
          </w:tcPr>
          <w:p>
            <w:pPr>
              <w:pStyle w:val="Cell"/>
              <w:jc w:val="center"/>
            </w:pPr>
            <w:r>
              <w:t xml:space="preserve">4</w:t>
            </w:r>
          </w:p>
        </w:tc>
        <w:tc>
          <w:tcPr>
            <w:tcW w:w="6560" w:type="dxa"/>
            <w:vAlign w:val="top"/>
          </w:tcPr>
          <w:p>
            <w:pPr>
              <w:pStyle w:val="Cell"/>
            </w:pPr>
            <w:r>
              <w:t xml:space="preserve">A plan exists for historical data needed for audit, tax and lender reporting.</w:t>
            </w:r>
          </w:p>
        </w:tc>
        <w:tc>
          <w:tcPr>
            <w:tcW w:w="2200" w:type="dxa"/>
            <w:vAlign w:val="top"/>
          </w:tcPr>
          <w:p>
            <w:pPr>
              <w:pStyle w:val="Cell"/>
            </w:pPr>
            <w:r>
              <w:rPr>
                <w:sz w:val="18"/>
              </w:rPr>
              <w:t xml:space="preserve">☐ In place   ☐ Action</w:t>
            </w:r>
          </w:p>
        </w:tc>
      </w:tr>
    </w:tbl>
    <w:p>
      <w:pPr>
        <w:pStyle w:val="Body"/>
      </w:pPr>
    </w:p>
    <w:p>
      <w:pPr>
        <w:pStyle w:val="Heading1"/>
        <w:keepNext/>
      </w:pPr>
      <w:r>
        <w:t xml:space="preserve">5. Reporting cadence to the board</w:t>
      </w:r>
    </w:p>
    <w:tbl>
      <w:tblPr>
        <w:tblW w:w="9360" w:type="dxa"/>
        <w:tblBorders>
          <w:top w:val="single" w:sz="4" w:space="0" w:color="D9D3C7"/>
          <w:left w:val="single" w:sz="4" w:space="0" w:color="D9D3C7"/>
          <w:bottom w:val="single" w:sz="4" w:space="0" w:color="D9D3C7"/>
          <w:right w:val="single" w:sz="4" w:space="0" w:color="D9D3C7"/>
          <w:insideH w:val="single" w:sz="4" w:space="0" w:color="D9D3C7"/>
          <w:insideV w:val="single" w:sz="4" w:space="0" w:color="D9D3C7"/>
        </w:tblBorders>
        <w:tblLayout w:type="fixed"/>
        <w:tblCellMar>
          <w:top w:w="70" w:type="dxa"/>
          <w:left w:w="100" w:type="dxa"/>
          <w:bottom w:w="70" w:type="dxa"/>
          <w:right w:w="100" w:type="dxa"/>
        </w:tblCellMar>
      </w:tblPr>
      <w:tblGrid>
        <w:gridCol w:w="600"/>
        <w:gridCol w:w="6560"/>
        <w:gridCol w:w="2200"/>
      </w:tblGrid>
      <w:tr>
        <w:trPr>
          <w:cantSplit/>
          <w:tblHeader/>
        </w:trPr>
        <w:tc>
          <w:tcPr>
            <w:tcW w:w="600" w:type="dxa"/>
            <w:shd w:val="clear" w:color="auto" w:fill="F3EDE2"/>
            <w:vAlign w:val="top"/>
          </w:tcPr>
          <w:p>
            <w:pPr>
              <w:pStyle w:val="Cell"/>
              <w:jc w:val="center"/>
            </w:pPr>
            <w:r>
              <w:rPr>
                <w:b/>
                <w:color w:val="24324A"/>
              </w:rPr>
              <w:t xml:space="preserve">#</w:t>
            </w:r>
          </w:p>
        </w:tc>
        <w:tc>
          <w:tcPr>
            <w:tcW w:w="6560" w:type="dxa"/>
            <w:shd w:val="clear" w:color="auto" w:fill="F3EDE2"/>
            <w:vAlign w:val="top"/>
          </w:tcPr>
          <w:p>
            <w:pPr>
              <w:pStyle w:val="Cell"/>
            </w:pPr>
            <w:r>
              <w:rPr>
                <w:b/>
                <w:color w:val="24324A"/>
              </w:rPr>
              <w:t xml:space="preserve">Item</w:t>
            </w:r>
          </w:p>
        </w:tc>
        <w:tc>
          <w:tcPr>
            <w:tcW w:w="2200" w:type="dxa"/>
            <w:shd w:val="clear" w:color="auto" w:fill="F3EDE2"/>
            <w:vAlign w:val="top"/>
          </w:tcPr>
          <w:p>
            <w:pPr>
              <w:pStyle w:val="Cell"/>
            </w:pPr>
            <w:r>
              <w:rPr>
                <w:b/>
                <w:color w:val="24324A"/>
              </w:rPr>
              <w:t xml:space="preserve">Status / owner</w:t>
            </w:r>
          </w:p>
        </w:tc>
      </w:tr>
      <w:tr>
        <w:trPr>
          <w:cantSplit/>
        </w:trPr>
        <w:tc>
          <w:tcPr>
            <w:tcW w:w="600" w:type="dxa"/>
            <w:vAlign w:val="top"/>
          </w:tcPr>
          <w:p>
            <w:pPr>
              <w:pStyle w:val="Cell"/>
              <w:jc w:val="center"/>
            </w:pPr>
            <w:r>
              <w:t xml:space="preserve">1</w:t>
            </w:r>
          </w:p>
        </w:tc>
        <w:tc>
          <w:tcPr>
            <w:tcW w:w="6560" w:type="dxa"/>
            <w:vAlign w:val="top"/>
          </w:tcPr>
          <w:p>
            <w:pPr>
              <w:pStyle w:val="Cell"/>
            </w:pPr>
            <w:r>
              <w:t xml:space="preserve">The board or a committee receives a systems roadmap update at a set frequency.</w:t>
            </w:r>
          </w:p>
        </w:tc>
        <w:tc>
          <w:tcPr>
            <w:tcW w:w="2200" w:type="dxa"/>
            <w:vAlign w:val="top"/>
          </w:tcPr>
          <w:p>
            <w:pPr>
              <w:pStyle w:val="Cell"/>
            </w:pPr>
            <w:r>
              <w:rPr>
                <w:sz w:val="18"/>
              </w:rPr>
              <w:t xml:space="preserve">☐ In place   ☐ Action</w:t>
            </w:r>
          </w:p>
        </w:tc>
      </w:tr>
      <w:tr>
        <w:trPr>
          <w:cantSplit/>
        </w:trPr>
        <w:tc>
          <w:tcPr>
            <w:tcW w:w="600" w:type="dxa"/>
            <w:vAlign w:val="top"/>
          </w:tcPr>
          <w:p>
            <w:pPr>
              <w:pStyle w:val="Cell"/>
              <w:jc w:val="center"/>
            </w:pPr>
            <w:r>
              <w:t xml:space="preserve">2</w:t>
            </w:r>
          </w:p>
        </w:tc>
        <w:tc>
          <w:tcPr>
            <w:tcW w:w="6560" w:type="dxa"/>
            <w:vAlign w:val="top"/>
          </w:tcPr>
          <w:p>
            <w:pPr>
              <w:pStyle w:val="Cell"/>
            </w:pPr>
            <w:r>
              <w:t xml:space="preserve">Updates show evidence (reconciliations, defects, test results, access reviews), not status colors alone.</w:t>
            </w:r>
          </w:p>
        </w:tc>
        <w:tc>
          <w:tcPr>
            <w:tcW w:w="2200" w:type="dxa"/>
            <w:vAlign w:val="top"/>
          </w:tcPr>
          <w:p>
            <w:pPr>
              <w:pStyle w:val="Cell"/>
            </w:pPr>
            <w:r>
              <w:rPr>
                <w:sz w:val="18"/>
              </w:rPr>
              <w:t xml:space="preserve">☐ In place   ☐ Action</w:t>
            </w:r>
          </w:p>
        </w:tc>
      </w:tr>
      <w:tr>
        <w:trPr>
          <w:cantSplit/>
        </w:trPr>
        <w:tc>
          <w:tcPr>
            <w:tcW w:w="600" w:type="dxa"/>
            <w:vAlign w:val="top"/>
          </w:tcPr>
          <w:p>
            <w:pPr>
              <w:pStyle w:val="Cell"/>
              <w:jc w:val="center"/>
            </w:pPr>
            <w:r>
              <w:t xml:space="preserve">3</w:t>
            </w:r>
          </w:p>
        </w:tc>
        <w:tc>
          <w:tcPr>
            <w:tcW w:w="6560" w:type="dxa"/>
            <w:vAlign w:val="top"/>
          </w:tcPr>
          <w:p>
            <w:pPr>
              <w:pStyle w:val="Cell"/>
            </w:pPr>
            <w:r>
              <w:t xml:space="preserve">Escalation thresholds are agreed: what management must report between meetings.</w:t>
            </w:r>
          </w:p>
        </w:tc>
        <w:tc>
          <w:tcPr>
            <w:tcW w:w="2200" w:type="dxa"/>
            <w:vAlign w:val="top"/>
          </w:tcPr>
          <w:p>
            <w:pPr>
              <w:pStyle w:val="Cell"/>
            </w:pPr>
            <w:r>
              <w:rPr>
                <w:sz w:val="18"/>
              </w:rPr>
              <w:t xml:space="preserve">☐ In place   ☐ Action</w:t>
            </w:r>
          </w:p>
        </w:tc>
      </w:tr>
      <w:tr>
        <w:trPr>
          <w:cantSplit/>
        </w:trPr>
        <w:tc>
          <w:tcPr>
            <w:tcW w:w="600" w:type="dxa"/>
            <w:vAlign w:val="top"/>
          </w:tcPr>
          <w:p>
            <w:pPr>
              <w:pStyle w:val="Cell"/>
              <w:jc w:val="center"/>
            </w:pPr>
            <w:r>
              <w:t xml:space="preserve">4</w:t>
            </w:r>
          </w:p>
        </w:tc>
        <w:tc>
          <w:tcPr>
            <w:tcW w:w="6560" w:type="dxa"/>
            <w:vAlign w:val="top"/>
          </w:tcPr>
          <w:p>
            <w:pPr>
              <w:pStyle w:val="Cell"/>
            </w:pPr>
            <w:r>
              <w:t xml:space="preserve">The sponsor's operating partner and the CFO agree on one version of the roadmap.</w:t>
            </w:r>
          </w:p>
        </w:tc>
        <w:tc>
          <w:tcPr>
            <w:tcW w:w="2200" w:type="dxa"/>
            <w:vAlign w:val="top"/>
          </w:tcPr>
          <w:p>
            <w:pPr>
              <w:pStyle w:val="Cell"/>
            </w:pPr>
            <w:r>
              <w:rPr>
                <w:sz w:val="18"/>
              </w:rPr>
              <w:t xml:space="preserve">☐ In place   ☐ Action</w:t>
            </w:r>
          </w:p>
        </w:tc>
      </w:tr>
    </w:tbl>
    <w:p>
      <w:pPr>
        <w:pStyle w:val="Body"/>
      </w:pPr>
    </w:p>
    <w:p>
      <w:pPr>
        <w:pStyle w:val="Heading1"/>
        <w:keepNext/>
      </w:pPr>
      <w:r>
        <w:t xml:space="preserve">6. Go/no-go gates</w:t>
      </w:r>
    </w:p>
    <w:tbl>
      <w:tblPr>
        <w:tblW w:w="9360" w:type="dxa"/>
        <w:tblBorders>
          <w:top w:val="single" w:sz="4" w:space="0" w:color="D9D3C7"/>
          <w:left w:val="single" w:sz="4" w:space="0" w:color="D9D3C7"/>
          <w:bottom w:val="single" w:sz="4" w:space="0" w:color="D9D3C7"/>
          <w:right w:val="single" w:sz="4" w:space="0" w:color="D9D3C7"/>
          <w:insideH w:val="single" w:sz="4" w:space="0" w:color="D9D3C7"/>
          <w:insideV w:val="single" w:sz="4" w:space="0" w:color="D9D3C7"/>
        </w:tblBorders>
        <w:tblLayout w:type="fixed"/>
        <w:tblCellMar>
          <w:top w:w="70" w:type="dxa"/>
          <w:left w:w="100" w:type="dxa"/>
          <w:bottom w:w="70" w:type="dxa"/>
          <w:right w:w="100" w:type="dxa"/>
        </w:tblCellMar>
      </w:tblPr>
      <w:tblGrid>
        <w:gridCol w:w="600"/>
        <w:gridCol w:w="6560"/>
        <w:gridCol w:w="2200"/>
      </w:tblGrid>
      <w:tr>
        <w:trPr>
          <w:cantSplit/>
          <w:tblHeader/>
        </w:trPr>
        <w:tc>
          <w:tcPr>
            <w:tcW w:w="600" w:type="dxa"/>
            <w:shd w:val="clear" w:color="auto" w:fill="F3EDE2"/>
            <w:vAlign w:val="top"/>
          </w:tcPr>
          <w:p>
            <w:pPr>
              <w:pStyle w:val="Cell"/>
              <w:jc w:val="center"/>
            </w:pPr>
            <w:r>
              <w:rPr>
                <w:b/>
                <w:color w:val="24324A"/>
              </w:rPr>
              <w:t xml:space="preserve">#</w:t>
            </w:r>
          </w:p>
        </w:tc>
        <w:tc>
          <w:tcPr>
            <w:tcW w:w="6560" w:type="dxa"/>
            <w:shd w:val="clear" w:color="auto" w:fill="F3EDE2"/>
            <w:vAlign w:val="top"/>
          </w:tcPr>
          <w:p>
            <w:pPr>
              <w:pStyle w:val="Cell"/>
            </w:pPr>
            <w:r>
              <w:rPr>
                <w:b/>
                <w:color w:val="24324A"/>
              </w:rPr>
              <w:t xml:space="preserve">Item</w:t>
            </w:r>
          </w:p>
        </w:tc>
        <w:tc>
          <w:tcPr>
            <w:tcW w:w="2200" w:type="dxa"/>
            <w:shd w:val="clear" w:color="auto" w:fill="F3EDE2"/>
            <w:vAlign w:val="top"/>
          </w:tcPr>
          <w:p>
            <w:pPr>
              <w:pStyle w:val="Cell"/>
            </w:pPr>
            <w:r>
              <w:rPr>
                <w:b/>
                <w:color w:val="24324A"/>
              </w:rPr>
              <w:t xml:space="preserve">Status / owner</w:t>
            </w:r>
          </w:p>
        </w:tc>
      </w:tr>
      <w:tr>
        <w:trPr>
          <w:cantSplit/>
        </w:trPr>
        <w:tc>
          <w:tcPr>
            <w:tcW w:w="600" w:type="dxa"/>
            <w:vAlign w:val="top"/>
          </w:tcPr>
          <w:p>
            <w:pPr>
              <w:pStyle w:val="Cell"/>
              <w:jc w:val="center"/>
            </w:pPr>
            <w:r>
              <w:t xml:space="preserve">1</w:t>
            </w:r>
          </w:p>
        </w:tc>
        <w:tc>
          <w:tcPr>
            <w:tcW w:w="6560" w:type="dxa"/>
            <w:vAlign w:val="top"/>
          </w:tcPr>
          <w:p>
            <w:pPr>
              <w:pStyle w:val="Cell"/>
            </w:pPr>
            <w:r>
              <w:t xml:space="preserve">Written go/no-go criteria are agreed before each major cutover.</w:t>
            </w:r>
          </w:p>
        </w:tc>
        <w:tc>
          <w:tcPr>
            <w:tcW w:w="2200" w:type="dxa"/>
            <w:vAlign w:val="top"/>
          </w:tcPr>
          <w:p>
            <w:pPr>
              <w:pStyle w:val="Cell"/>
            </w:pPr>
            <w:r>
              <w:rPr>
                <w:sz w:val="18"/>
              </w:rPr>
              <w:t xml:space="preserve">☐ In place   ☐ Action</w:t>
            </w:r>
          </w:p>
        </w:tc>
      </w:tr>
      <w:tr>
        <w:trPr>
          <w:cantSplit/>
        </w:trPr>
        <w:tc>
          <w:tcPr>
            <w:tcW w:w="600" w:type="dxa"/>
            <w:vAlign w:val="top"/>
          </w:tcPr>
          <w:p>
            <w:pPr>
              <w:pStyle w:val="Cell"/>
              <w:jc w:val="center"/>
            </w:pPr>
            <w:r>
              <w:t xml:space="preserve">2</w:t>
            </w:r>
          </w:p>
        </w:tc>
        <w:tc>
          <w:tcPr>
            <w:tcW w:w="6560" w:type="dxa"/>
            <w:vAlign w:val="top"/>
          </w:tcPr>
          <w:p>
            <w:pPr>
              <w:pStyle w:val="Cell"/>
            </w:pPr>
            <w:r>
              <w:t xml:space="preserve">The decision-maker and the people consulted are named.</w:t>
            </w:r>
          </w:p>
        </w:tc>
        <w:tc>
          <w:tcPr>
            <w:tcW w:w="2200" w:type="dxa"/>
            <w:vAlign w:val="top"/>
          </w:tcPr>
          <w:p>
            <w:pPr>
              <w:pStyle w:val="Cell"/>
            </w:pPr>
            <w:r>
              <w:rPr>
                <w:sz w:val="18"/>
              </w:rPr>
              <w:t xml:space="preserve">☐ In place   ☐ Action</w:t>
            </w:r>
          </w:p>
        </w:tc>
      </w:tr>
      <w:tr>
        <w:trPr>
          <w:cantSplit/>
        </w:trPr>
        <w:tc>
          <w:tcPr>
            <w:tcW w:w="600" w:type="dxa"/>
            <w:vAlign w:val="top"/>
          </w:tcPr>
          <w:p>
            <w:pPr>
              <w:pStyle w:val="Cell"/>
              <w:jc w:val="center"/>
            </w:pPr>
            <w:r>
              <w:t xml:space="preserve">3</w:t>
            </w:r>
          </w:p>
        </w:tc>
        <w:tc>
          <w:tcPr>
            <w:tcW w:w="6560" w:type="dxa"/>
            <w:vAlign w:val="top"/>
          </w:tcPr>
          <w:p>
            <w:pPr>
              <w:pStyle w:val="Cell"/>
            </w:pPr>
            <w:r>
              <w:t xml:space="preserve">A rollback plan exists and has been rehearsed.</w:t>
            </w:r>
          </w:p>
        </w:tc>
        <w:tc>
          <w:tcPr>
            <w:tcW w:w="2200" w:type="dxa"/>
            <w:vAlign w:val="top"/>
          </w:tcPr>
          <w:p>
            <w:pPr>
              <w:pStyle w:val="Cell"/>
            </w:pPr>
            <w:r>
              <w:rPr>
                <w:sz w:val="18"/>
              </w:rPr>
              <w:t xml:space="preserve">☐ In place   ☐ Action</w:t>
            </w:r>
          </w:p>
        </w:tc>
      </w:tr>
      <w:tr>
        <w:trPr>
          <w:cantSplit/>
        </w:trPr>
        <w:tc>
          <w:tcPr>
            <w:tcW w:w="600" w:type="dxa"/>
            <w:vAlign w:val="top"/>
          </w:tcPr>
          <w:p>
            <w:pPr>
              <w:pStyle w:val="Cell"/>
              <w:jc w:val="center"/>
            </w:pPr>
            <w:r>
              <w:t xml:space="preserve">4</w:t>
            </w:r>
          </w:p>
        </w:tc>
        <w:tc>
          <w:tcPr>
            <w:tcW w:w="6560" w:type="dxa"/>
            <w:vAlign w:val="top"/>
          </w:tcPr>
          <w:p>
            <w:pPr>
              <w:pStyle w:val="Cell"/>
            </w:pPr>
            <w:r>
              <w:t xml:space="preserve">The first close on the new system has a fallback plan if it runs late.</w:t>
            </w:r>
          </w:p>
        </w:tc>
        <w:tc>
          <w:tcPr>
            <w:tcW w:w="2200" w:type="dxa"/>
            <w:vAlign w:val="top"/>
          </w:tcPr>
          <w:p>
            <w:pPr>
              <w:pStyle w:val="Cell"/>
            </w:pPr>
            <w:r>
              <w:rPr>
                <w:sz w:val="18"/>
              </w:rPr>
              <w:t xml:space="preserve">☐ In place   ☐ Action</w:t>
            </w:r>
          </w:p>
        </w:tc>
      </w:tr>
    </w:tbl>
    <w:p>
      <w:pPr>
        <w:pStyle w:val="Body"/>
      </w:pPr>
    </w:p>
    <w:p>
      <w:pPr>
        <w:pStyle w:val="Heading1"/>
        <w:keepNext/>
      </w:pPr>
      <w:r>
        <w:t xml:space="preserve">7. KPIs to watch</w:t>
      </w:r>
    </w:p>
    <w:tbl>
      <w:tblPr>
        <w:tblW w:w="9360" w:type="dxa"/>
        <w:tblBorders>
          <w:top w:val="single" w:sz="4" w:space="0" w:color="D9D3C7"/>
          <w:left w:val="single" w:sz="4" w:space="0" w:color="D9D3C7"/>
          <w:bottom w:val="single" w:sz="4" w:space="0" w:color="D9D3C7"/>
          <w:right w:val="single" w:sz="4" w:space="0" w:color="D9D3C7"/>
          <w:insideH w:val="single" w:sz="4" w:space="0" w:color="D9D3C7"/>
          <w:insideV w:val="single" w:sz="4" w:space="0" w:color="D9D3C7"/>
        </w:tblBorders>
        <w:tblLayout w:type="fixed"/>
        <w:tblCellMar>
          <w:top w:w="70" w:type="dxa"/>
          <w:left w:w="100" w:type="dxa"/>
          <w:bottom w:w="70" w:type="dxa"/>
          <w:right w:w="100" w:type="dxa"/>
        </w:tblCellMar>
      </w:tblPr>
      <w:tblGrid>
        <w:gridCol w:w="600"/>
        <w:gridCol w:w="6560"/>
        <w:gridCol w:w="2200"/>
      </w:tblGrid>
      <w:tr>
        <w:trPr>
          <w:cantSplit/>
          <w:tblHeader/>
        </w:trPr>
        <w:tc>
          <w:tcPr>
            <w:tcW w:w="600" w:type="dxa"/>
            <w:shd w:val="clear" w:color="auto" w:fill="F3EDE2"/>
            <w:vAlign w:val="top"/>
          </w:tcPr>
          <w:p>
            <w:pPr>
              <w:pStyle w:val="Cell"/>
              <w:jc w:val="center"/>
            </w:pPr>
            <w:r>
              <w:rPr>
                <w:b/>
                <w:color w:val="24324A"/>
              </w:rPr>
              <w:t xml:space="preserve">#</w:t>
            </w:r>
          </w:p>
        </w:tc>
        <w:tc>
          <w:tcPr>
            <w:tcW w:w="6560" w:type="dxa"/>
            <w:shd w:val="clear" w:color="auto" w:fill="F3EDE2"/>
            <w:vAlign w:val="top"/>
          </w:tcPr>
          <w:p>
            <w:pPr>
              <w:pStyle w:val="Cell"/>
            </w:pPr>
            <w:r>
              <w:rPr>
                <w:b/>
                <w:color w:val="24324A"/>
              </w:rPr>
              <w:t xml:space="preserve">Item</w:t>
            </w:r>
          </w:p>
        </w:tc>
        <w:tc>
          <w:tcPr>
            <w:tcW w:w="2200" w:type="dxa"/>
            <w:shd w:val="clear" w:color="auto" w:fill="F3EDE2"/>
            <w:vAlign w:val="top"/>
          </w:tcPr>
          <w:p>
            <w:pPr>
              <w:pStyle w:val="Cell"/>
            </w:pPr>
            <w:r>
              <w:rPr>
                <w:b/>
                <w:color w:val="24324A"/>
              </w:rPr>
              <w:t xml:space="preserve">Status / owner</w:t>
            </w:r>
          </w:p>
        </w:tc>
      </w:tr>
      <w:tr>
        <w:trPr>
          <w:cantSplit/>
        </w:trPr>
        <w:tc>
          <w:tcPr>
            <w:tcW w:w="600" w:type="dxa"/>
            <w:vAlign w:val="top"/>
          </w:tcPr>
          <w:p>
            <w:pPr>
              <w:pStyle w:val="Cell"/>
              <w:jc w:val="center"/>
            </w:pPr>
            <w:r>
              <w:t xml:space="preserve">1</w:t>
            </w:r>
          </w:p>
        </w:tc>
        <w:tc>
          <w:tcPr>
            <w:tcW w:w="6560" w:type="dxa"/>
            <w:vAlign w:val="top"/>
          </w:tcPr>
          <w:p>
            <w:pPr>
              <w:pStyle w:val="Cell"/>
            </w:pPr>
            <w:r>
              <w:t xml:space="preserve">Days to close, before and after each change.</w:t>
            </w:r>
          </w:p>
        </w:tc>
        <w:tc>
          <w:tcPr>
            <w:tcW w:w="2200" w:type="dxa"/>
            <w:vAlign w:val="top"/>
          </w:tcPr>
          <w:p>
            <w:pPr>
              <w:pStyle w:val="Cell"/>
            </w:pPr>
            <w:r>
              <w:rPr>
                <w:sz w:val="18"/>
              </w:rPr>
              <w:t xml:space="preserve">☐ In place   ☐ Action</w:t>
            </w:r>
          </w:p>
        </w:tc>
      </w:tr>
      <w:tr>
        <w:trPr>
          <w:cantSplit/>
        </w:trPr>
        <w:tc>
          <w:tcPr>
            <w:tcW w:w="600" w:type="dxa"/>
            <w:vAlign w:val="top"/>
          </w:tcPr>
          <w:p>
            <w:pPr>
              <w:pStyle w:val="Cell"/>
              <w:jc w:val="center"/>
            </w:pPr>
            <w:r>
              <w:t xml:space="preserve">2</w:t>
            </w:r>
          </w:p>
        </w:tc>
        <w:tc>
          <w:tcPr>
            <w:tcW w:w="6560" w:type="dxa"/>
            <w:vAlign w:val="top"/>
          </w:tcPr>
          <w:p>
            <w:pPr>
              <w:pStyle w:val="Cell"/>
            </w:pPr>
            <w:r>
              <w:t xml:space="preserve">Open reconciliation breaks and their age.</w:t>
            </w:r>
          </w:p>
        </w:tc>
        <w:tc>
          <w:tcPr>
            <w:tcW w:w="2200" w:type="dxa"/>
            <w:vAlign w:val="top"/>
          </w:tcPr>
          <w:p>
            <w:pPr>
              <w:pStyle w:val="Cell"/>
            </w:pPr>
            <w:r>
              <w:rPr>
                <w:sz w:val="18"/>
              </w:rPr>
              <w:t xml:space="preserve">☐ In place   ☐ Action</w:t>
            </w:r>
          </w:p>
        </w:tc>
      </w:tr>
      <w:tr>
        <w:trPr>
          <w:cantSplit/>
        </w:trPr>
        <w:tc>
          <w:tcPr>
            <w:tcW w:w="600" w:type="dxa"/>
            <w:vAlign w:val="top"/>
          </w:tcPr>
          <w:p>
            <w:pPr>
              <w:pStyle w:val="Cell"/>
              <w:jc w:val="center"/>
            </w:pPr>
            <w:r>
              <w:t xml:space="preserve">3</w:t>
            </w:r>
          </w:p>
        </w:tc>
        <w:tc>
          <w:tcPr>
            <w:tcW w:w="6560" w:type="dxa"/>
            <w:vAlign w:val="top"/>
          </w:tcPr>
          <w:p>
            <w:pPr>
              <w:pStyle w:val="Cell"/>
            </w:pPr>
            <w:r>
              <w:t xml:space="preserve">Open high-severity defects in finance and order-to-cash processes.</w:t>
            </w:r>
          </w:p>
        </w:tc>
        <w:tc>
          <w:tcPr>
            <w:tcW w:w="2200" w:type="dxa"/>
            <w:vAlign w:val="top"/>
          </w:tcPr>
          <w:p>
            <w:pPr>
              <w:pStyle w:val="Cell"/>
            </w:pPr>
            <w:r>
              <w:rPr>
                <w:sz w:val="18"/>
              </w:rPr>
              <w:t xml:space="preserve">☐ In place   ☐ Action</w:t>
            </w:r>
          </w:p>
        </w:tc>
      </w:tr>
      <w:tr>
        <w:trPr>
          <w:cantSplit/>
        </w:trPr>
        <w:tc>
          <w:tcPr>
            <w:tcW w:w="600" w:type="dxa"/>
            <w:vAlign w:val="top"/>
          </w:tcPr>
          <w:p>
            <w:pPr>
              <w:pStyle w:val="Cell"/>
              <w:jc w:val="center"/>
            </w:pPr>
            <w:r>
              <w:t xml:space="preserve">4</w:t>
            </w:r>
          </w:p>
        </w:tc>
        <w:tc>
          <w:tcPr>
            <w:tcW w:w="6560" w:type="dxa"/>
            <w:vAlign w:val="top"/>
          </w:tcPr>
          <w:p>
            <w:pPr>
              <w:pStyle w:val="Cell"/>
            </w:pPr>
            <w:r>
              <w:t xml:space="preserve">Segregation-of-duties conflicts and temporary access still open.</w:t>
            </w:r>
          </w:p>
        </w:tc>
        <w:tc>
          <w:tcPr>
            <w:tcW w:w="2200" w:type="dxa"/>
            <w:vAlign w:val="top"/>
          </w:tcPr>
          <w:p>
            <w:pPr>
              <w:pStyle w:val="Cell"/>
            </w:pPr>
            <w:r>
              <w:rPr>
                <w:sz w:val="18"/>
              </w:rPr>
              <w:t xml:space="preserve">☐ In place   ☐ Action</w:t>
            </w:r>
          </w:p>
        </w:tc>
      </w:tr>
      <w:tr>
        <w:trPr>
          <w:cantSplit/>
        </w:trPr>
        <w:tc>
          <w:tcPr>
            <w:tcW w:w="600" w:type="dxa"/>
            <w:vAlign w:val="top"/>
          </w:tcPr>
          <w:p>
            <w:pPr>
              <w:pStyle w:val="Cell"/>
              <w:jc w:val="center"/>
            </w:pPr>
            <w:r>
              <w:t xml:space="preserve">5</w:t>
            </w:r>
          </w:p>
        </w:tc>
        <w:tc>
          <w:tcPr>
            <w:tcW w:w="6560" w:type="dxa"/>
            <w:vAlign w:val="top"/>
          </w:tcPr>
          <w:p>
            <w:pPr>
              <w:pStyle w:val="Cell"/>
            </w:pPr>
            <w:r>
              <w:t xml:space="preserve">Milestones met against the plan, and budget spent against value delivered.</w:t>
            </w:r>
          </w:p>
        </w:tc>
        <w:tc>
          <w:tcPr>
            <w:tcW w:w="2200" w:type="dxa"/>
            <w:vAlign w:val="top"/>
          </w:tcPr>
          <w:p>
            <w:pPr>
              <w:pStyle w:val="Cell"/>
            </w:pPr>
            <w:r>
              <w:rPr>
                <w:sz w:val="18"/>
              </w:rPr>
              <w:t xml:space="preserve">☐ In place   ☐ Action</w:t>
            </w:r>
          </w:p>
        </w:tc>
      </w:tr>
    </w:tbl>
    <w:p>
      <w:pPr>
        <w:pStyle w:val="Body"/>
      </w:pPr>
    </w:p>
    <w:p>
      <w:pPr>
        <w:pStyle w:val="Heading2"/>
      </w:pPr>
      <w:r>
        <w:t xml:space="preserve">Notes</w:t>
      </w:r>
    </w:p>
    <w:p>
      <w:pPr>
        <w:pStyle w:val="Body"/>
        <w:pBdr>
          <w:bottom w:val="single" w:sz="4" w:space="12" w:color="D9D3C7"/>
        </w:pBdr>
      </w:pPr>
    </w:p>
    <w:p>
      <w:pPr>
        <w:pStyle w:val="Body"/>
        <w:pBdr>
          <w:bottom w:val="single" w:sz="4" w:space="12" w:color="D9D3C7"/>
        </w:pBdr>
      </w:pPr>
    </w:p>
    <w:p>
      <w:pPr>
        <w:pStyle w:val="Fine"/>
        <w:spacing w:before="240"/>
      </w:pPr>
      <w:r>
        <w:t xml:space="preserve">This template is a general resource, not legal advice. Review with counsel before adoption.</w:t>
      </w:r>
    </w:p>
    <w:sectPr>
      <w:footerReference w:type="default" r:id="rId3"/>
      <w:pgSz w:w="12240" w:h="15840"/>
      <w:pgMar w:top="1300" w:right="1440" w:bottom="1300" w:left="1440" w:header="720" w:footer="600" w:gutter="0"/>
    </w:sectPr>
  </w:body>
</w:document>
</file>

<file path=word/footer1.xml><?xml version="1.0" encoding="utf-8"?>
<w:ftr xmlns:w="http://schemas.openxmlformats.org/wordprocessingml/2006/main" xmlns:r="http://schemas.openxmlformats.org/officeDocument/2006/relationships">
  <w:p>
    <w:pPr>
      <w:pStyle w:val="Footer"/>
      <w:pBdr>
        <w:top w:val="single" w:sz="4" w:space="6" w:color="D9D3C7"/>
      </w:pBdr>
    </w:pPr>
    <w:r>
      <w:t xml:space="preserve">Prepared by Jacob James Kahn · jacobjameskahn.net · Review with counsel before adoption.</w:t>
    </w:r>
  </w:p>
</w:ftr>
</file>

<file path=word/numbering.xml><?xml version="1.0" encoding="utf-8"?>
<w:numbering xmlns:w="http://schemas.openxmlformats.org/wordprocessingml/2006/main" xmlns:r="http://schemas.openxmlformats.org/officeDocument/2006/relationships">
  <w:abstractNum w:abstractNumId="0">
    <w:multiLevelType w:val="singleLevel"/>
    <w:lvl w:ilvl="0">
      <w:start w:val="1"/>
      <w:numFmt w:val="decimal"/>
      <w:lvlText w:val="%1."/>
      <w:lvlJc w:val="left"/>
      <w:pPr>
        <w:ind w:left="400" w:hanging="300"/>
      </w:pPr>
    </w:lvl>
  </w:abstractNum>
  <w:num w:numId="1">
    <w:abstractNumId w:val="0"/>
  </w:num>
</w:numbering>
</file>

<file path=word/settings.xml><?xml version="1.0" encoding="utf-8"?>
<w:settings xmlns:w="http://schemas.openxmlformats.org/wordprocessingml/2006/main" xmlns:r="http://schemas.openxmlformats.org/officeDocument/2006/relationships">
  <w:defaultTabStop w:val="720"/>
  <w:compat>
    <w:compatSetting w:name="compatibilityMode" w:uri="http://schemas.microsoft.com/office/word" w:val="15"/>
  </w:compat>
</w:settings>
</file>

<file path=word/styles.xml><?xml version="1.0" encoding="utf-8"?>
<w:styles xmlns:w="http://schemas.openxmlformats.org/wordprocessingml/2006/main" xmlns:r="http://schemas.openxmlformats.org/officeDocument/2006/relationships">
  <w:docDefaults>
    <w:rPrDefault>
      <w:rPr>
        <w:rFonts w:ascii="Calibri" w:hAnsi="Calibri" w:eastAsia="Calibri" w:cs="Calibri"/>
        <w:sz w:val="21"/>
        <w:szCs w:val="21"/>
        <w:lang w:val="en-US"/>
      </w:rPr>
    </w:rPrDefault>
    <w:pPrDefault>
      <w:pPr>
        <w:spacing w:after="0" w:line="264" w:lineRule="auto"/>
      </w:pPr>
    </w:pPrDefault>
  </w:docDefaults>
  <w:style w:type="paragraph" w:default="1" w:styleId="Normal">
    <w:name w:val="Normal"/>
    <w:qFormat/>
  </w:style>
  <w:style w:type="paragraph" w:styleId="Title">
    <w:name w:val="Title"/>
    <w:basedOn w:val="Normal"/>
    <w:next w:val="Normal"/>
    <w:qFormat/>
    <w:pPr>
      <w:spacing w:after="120"/>
    </w:pPr>
    <w:rPr>
      <w:rFonts w:ascii="Georgia" w:hAnsi="Georgia"/>
      <w:b/>
      <w:color w:val="24324A"/>
      <w:sz w:val="44"/>
    </w:rPr>
  </w:style>
  <w:style w:type="paragraph" w:styleId="Heading1">
    <w:name w:val="heading 1"/>
    <w:basedOn w:val="Normal"/>
    <w:next w:val="Normal"/>
    <w:qFormat/>
    <w:pPr>
      <w:keepNext/>
      <w:spacing w:before="320" w:after="120"/>
      <w:outlineLvl w:val="0"/>
    </w:pPr>
    <w:rPr>
      <w:rFonts w:ascii="Georgia" w:hAnsi="Georgia"/>
      <w:b/>
      <w:color w:val="24324A"/>
      <w:sz w:val="28"/>
    </w:rPr>
  </w:style>
  <w:style w:type="paragraph" w:styleId="Heading2">
    <w:name w:val="heading 2"/>
    <w:basedOn w:val="Normal"/>
    <w:next w:val="Normal"/>
    <w:qFormat/>
    <w:pPr>
      <w:keepNext/>
      <w:spacing w:before="240" w:after="80"/>
      <w:outlineLvl w:val="1"/>
    </w:pPr>
    <w:rPr>
      <w:b/>
      <w:caps/>
      <w:color w:val="7D5309"/>
      <w:sz w:val="20"/>
    </w:rPr>
  </w:style>
  <w:style w:type="paragraph" w:styleId="Kicker">
    <w:name w:val="Kicker"/>
    <w:basedOn w:val="Normal"/>
    <w:pPr>
      <w:spacing w:after="80"/>
    </w:pPr>
    <w:rPr>
      <w:b/>
      <w:color w:val="7D5309"/>
      <w:sz w:val="17"/>
    </w:rPr>
  </w:style>
  <w:style w:type="paragraph" w:styleId="Meta">
    <w:name w:val="Meta"/>
    <w:basedOn w:val="Normal"/>
    <w:pPr>
      <w:spacing w:after="200"/>
    </w:pPr>
    <w:rPr>
      <w:color w:val="5D6676"/>
      <w:sz w:val="18"/>
    </w:rPr>
  </w:style>
  <w:style w:type="paragraph" w:styleId="Body">
    <w:name w:val="Body"/>
    <w:basedOn w:val="Normal"/>
    <w:pPr>
      <w:spacing w:after="120" w:line="288" w:lineRule="auto"/>
    </w:pPr>
    <w:rPr/>
  </w:style>
  <w:style w:type="paragraph" w:styleId="Cell">
    <w:name w:val="Table Text"/>
    <w:basedOn w:val="Normal"/>
    <w:pPr>
      <w:spacing w:after="0"/>
    </w:pPr>
    <w:rPr>
      <w:sz w:val="20"/>
    </w:rPr>
  </w:style>
  <w:style w:type="paragraph" w:styleId="Fine">
    <w:name w:val="Fine Print"/>
    <w:basedOn w:val="Normal"/>
    <w:pPr/>
    <w:rPr>
      <w:i/>
      <w:color w:val="5D6676"/>
      <w:sz w:val="18"/>
    </w:rPr>
  </w:style>
  <w:style w:type="paragraph" w:styleId="Footer">
    <w:name w:val="footer"/>
    <w:basedOn w:val="Normal"/>
    <w:pPr>
      <w:jc w:val="center"/>
    </w:pPr>
    <w:rPr>
      <w:color w:val="5D6676"/>
      <w:sz w:val="16"/>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er" Target="footer1.xml"/><Relationship Id="rId4" Type="http://schemas.openxmlformats.org/officeDocument/2006/relationships/settings" Target="settings.xml"/></Relationships>
</file>

<file path=docProps/app.xml><?xml version="1.0" encoding="utf-8"?>
<Properties xmlns="http://schemas.openxmlformats.org/officeDocument/2006/extended-properties">
  <Application>Microsoft Office Word</Application>
  <Company>jacobjameskahn.net</Company>
</Properties>
</file>

<file path=docProps/core.xml><?xml version="1.0" encoding="utf-8"?>
<cp:coreProperties xmlns:cp="http://schemas.openxmlformats.org/package/2006/metadata/core-properties" xmlns:dc="http://purl.org/dc/elements/1.1/" xmlns:dcterms="http://purl.org/dc/terms/" xmlns:xsi="http://www.w3.org/2001/XMLSchema-instance">
  <dc:title>100-Day Systems Roadmap Oversight</dc:title>
  <dc:subject>Governance Toolkit</dc:subject>
  <dc:creator>Jacob James Kahn</dc:creator>
  <dc:description>A first-100-days template for PE-backed boards to oversee critical systems, planned changes, controls exposure and go/no-go gates.</dc:description>
  <cp:lastModifiedBy>Jacob James Kahn</cp:lastModifiedBy>
  <cp:revision>1</cp:revision>
  <dcterms:created xsi:type="dcterms:W3CDTF">2026-10-07T12:00:00Z</dcterms:created>
  <dcterms:modified xsi:type="dcterms:W3CDTF">2026-10-07T12:00:00Z</dcterms:modified>
</cp:coreProperties>
</file>